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A0F3D"/>
          <w:spacing w:val="80"/>
          <w:sz w:val="20"/>
          <w:szCs w:val="20"/>
        </w:rPr>
        <w:t xml:space="preserve">TONDO</w:t>
      </w:r>
    </w:p>
    <w:p>
      <w:pPr>
        <w:pBdr>
          <w:bottom w:val="single" w:color="D63384" w:sz="8" w:space="8"/>
        </w:pBdr>
        <w:spacing w:after="480"/>
      </w:pPr>
      <w:r>
        <w:rPr>
          <w:color w:val="707090"/>
          <w:spacing w:val="60"/>
          <w:sz w:val="16"/>
          <w:szCs w:val="16"/>
        </w:rPr>
        <w:t xml:space="preserve">RINNOVA · WORKFORCE POLICY</w:t>
      </w:r>
    </w:p>
    <w:p>
      <w:pPr>
        <w:spacing w:after="120"/>
        <w:jc w:val="center"/>
      </w:pPr>
      <w:r>
        <w:rPr>
          <w:rFonts w:ascii="Georgia" w:cs="Georgia" w:eastAsia="Georgia" w:hAnsi="Georgia"/>
          <w:color w:val="1A1A3A"/>
          <w:sz w:val="40"/>
          <w:szCs w:val="40"/>
        </w:rPr>
        <w:t xml:space="preserve">Acceptable Use Policy</w:t>
      </w:r>
    </w:p>
    <w:p>
      <w:pPr>
        <w:spacing w:after="400"/>
        <w:jc w:val="center"/>
      </w:pPr>
      <w:r>
        <w:rPr>
          <w:i/>
          <w:iCs/>
          <w:color w:val="707090"/>
          <w:sz w:val="20"/>
          <w:szCs w:val="20"/>
        </w:rPr>
        <w:t xml:space="preserve">Rules governing use of Rinnova systems and data</w:t>
      </w:r>
    </w:p>
    <w:p>
      <w:pPr>
        <w:spacing w:after="40"/>
      </w:pPr>
      <w:r>
        <w:rPr>
          <w:b/>
          <w:bCs/>
          <w:color w:val="1A1A3A"/>
          <w:sz w:val="18"/>
          <w:szCs w:val="18"/>
        </w:rPr>
        <w:t xml:space="preserve">Document:  </w:t>
      </w:r>
      <w:r>
        <w:rPr>
          <w:color w:val="2A2A45"/>
          <w:sz w:val="18"/>
          <w:szCs w:val="18"/>
        </w:rPr>
        <w:t xml:space="preserve">Rinnova Acceptable Use Policy</w:t>
      </w:r>
    </w:p>
    <w:p>
      <w:pPr>
        <w:spacing w:after="40"/>
      </w:pPr>
      <w:r>
        <w:rPr>
          <w:b/>
          <w:bCs/>
          <w:color w:val="1A1A3A"/>
          <w:sz w:val="18"/>
          <w:szCs w:val="18"/>
        </w:rPr>
        <w:t xml:space="preserve">Version:  </w:t>
      </w:r>
      <w:r>
        <w:rPr>
          <w:color w:val="2A2A45"/>
          <w:sz w:val="18"/>
          <w:szCs w:val="18"/>
        </w:rPr>
        <w:t xml:space="preserve">1.0</w:t>
      </w:r>
    </w:p>
    <w:p>
      <w:pPr>
        <w:spacing w:after="40"/>
      </w:pPr>
      <w:r>
        <w:rPr>
          <w:b/>
          <w:bCs/>
          <w:color w:val="1A1A3A"/>
          <w:sz w:val="18"/>
          <w:szCs w:val="18"/>
        </w:rPr>
        <w:t xml:space="preserve">Effective Date:  </w:t>
      </w:r>
      <w:r>
        <w:rPr>
          <w:color w:val="2A2A45"/>
          <w:sz w:val="18"/>
          <w:szCs w:val="18"/>
        </w:rPr>
        <w:t xml:space="preserve">[Effective Date]</w:t>
      </w:r>
    </w:p>
    <w:p>
      <w:pPr>
        <w:spacing w:after="40"/>
      </w:pPr>
      <w:r>
        <w:rPr>
          <w:b/>
          <w:bCs/>
          <w:color w:val="1A1A3A"/>
          <w:sz w:val="18"/>
          <w:szCs w:val="18"/>
        </w:rPr>
        <w:t xml:space="preserve">Review Cycle:  </w:t>
      </w:r>
      <w:r>
        <w:rPr>
          <w:color w:val="2A2A45"/>
          <w:sz w:val="18"/>
          <w:szCs w:val="18"/>
        </w:rPr>
        <w:t xml:space="preserve">Annual</w:t>
      </w:r>
    </w:p>
    <w:p>
      <w:pPr>
        <w:spacing w:after="40"/>
      </w:pPr>
      <w:r>
        <w:rPr>
          <w:b/>
          <w:bCs/>
          <w:color w:val="1A1A3A"/>
          <w:sz w:val="18"/>
          <w:szCs w:val="18"/>
        </w:rPr>
        <w:t xml:space="preserve">Owner:  </w:t>
      </w:r>
      <w:r>
        <w:rPr>
          <w:color w:val="2A2A45"/>
          <w:sz w:val="18"/>
          <w:szCs w:val="18"/>
        </w:rPr>
        <w:t xml:space="preserve">Security Officer / Founder</w:t>
      </w:r>
    </w:p>
    <w:p>
      <w:pPr>
        <w:spacing w:after="40"/>
      </w:pPr>
      <w:r>
        <w:rPr>
          <w:b/>
          <w:bCs/>
          <w:color w:val="1A1A3A"/>
          <w:sz w:val="18"/>
          <w:szCs w:val="18"/>
        </w:rPr>
        <w:t xml:space="preserve">Approved By:  </w:t>
      </w:r>
      <w:r>
        <w:rPr>
          <w:color w:val="2A2A45"/>
          <w:sz w:val="18"/>
          <w:szCs w:val="18"/>
        </w:rPr>
        <w:t xml:space="preserve">[Founder Name]</w:t>
      </w:r>
    </w:p>
    <w:p>
      <w:pPr>
        <w:pBdr>
          <w:bottom w:val="single" w:color="CCCCCC" w:sz="6" w:space="6"/>
        </w:pBdr>
        <w:spacing w:after="240" w:before="120"/>
      </w:pPr>
      <w:r>
        <w:t xml:space="preserve"/>
      </w:r>
    </w:p>
    <w:p>
      <w:pPr>
        <w:keepNext/>
        <w:spacing w:after="160" w:before="320"/>
      </w:pPr>
      <w:r>
        <w:rPr>
          <w:b/>
          <w:bCs/>
          <w:color w:val="D63384"/>
          <w:sz w:val="24"/>
          <w:szCs w:val="24"/>
        </w:rPr>
        <w:t xml:space="preserve">1.  </w:t>
      </w:r>
      <w:r>
        <w:rPr>
          <w:b/>
          <w:bCs/>
          <w:color w:val="1A1A3A"/>
          <w:sz w:val="24"/>
          <w:szCs w:val="24"/>
        </w:rPr>
        <w:t xml:space="preserve">Purpose and Scope</w:t>
      </w:r>
    </w:p>
    <w:p>
      <w:pPr>
        <w:spacing w:after="160"/>
      </w:pPr>
      <w:r>
        <w:rPr>
          <w:color w:val="2A2A45"/>
        </w:rPr>
        <w:t xml:space="preserve">This Acceptable Use Policy defines how workforce members — employees, contractors, interns, and consultants — may use Rinnova’s systems, networks, data, and third-party services. Acceptance is required as a condition of access.</w:t>
      </w:r>
    </w:p>
    <w:p>
      <w:pPr>
        <w:keepNext/>
        <w:spacing w:after="160" w:before="320"/>
      </w:pPr>
      <w:r>
        <w:rPr>
          <w:b/>
          <w:bCs/>
          <w:color w:val="D63384"/>
          <w:sz w:val="24"/>
          <w:szCs w:val="24"/>
        </w:rPr>
        <w:t xml:space="preserve">2.  </w:t>
      </w:r>
      <w:r>
        <w:rPr>
          <w:b/>
          <w:bCs/>
          <w:color w:val="1A1A3A"/>
          <w:sz w:val="24"/>
          <w:szCs w:val="24"/>
        </w:rPr>
        <w:t xml:space="preserve">Acceptable Use</w:t>
      </w:r>
    </w:p>
    <w:p>
      <w:pPr>
        <w:spacing w:after="160"/>
      </w:pPr>
      <w:r>
        <w:rPr>
          <w:color w:val="2A2A45"/>
        </w:rPr>
        <w:t xml:space="preserve">Workforce members may use Rinnova systems to perform their assigned duties. All use must comply with applicable laws, this policy, and the Information Security Policy.</w:t>
      </w:r>
    </w:p>
    <w:p>
      <w:pPr>
        <w:pStyle w:val="ListParagraph"/>
        <w:numPr>
          <w:ilvl w:val="0"/>
          <w:numId w:val="2"/>
        </w:numPr>
        <w:spacing w:after="120"/>
      </w:pPr>
      <w:r>
        <w:rPr>
          <w:color w:val="2A2A45"/>
        </w:rPr>
        <w:t xml:space="preserve">Use systems only for authorized business purposes.</w:t>
      </w:r>
    </w:p>
    <w:p>
      <w:pPr>
        <w:pStyle w:val="ListParagraph"/>
        <w:numPr>
          <w:ilvl w:val="0"/>
          <w:numId w:val="2"/>
        </w:numPr>
        <w:spacing w:after="120"/>
      </w:pPr>
      <w:r>
        <w:rPr>
          <w:color w:val="2A2A45"/>
        </w:rPr>
        <w:t xml:space="preserve">Handle PHI in accordance with the Privacy and Security Policies.</w:t>
      </w:r>
    </w:p>
    <w:p>
      <w:pPr>
        <w:pStyle w:val="ListParagraph"/>
        <w:numPr>
          <w:ilvl w:val="0"/>
          <w:numId w:val="2"/>
        </w:numPr>
        <w:spacing w:after="120"/>
      </w:pPr>
      <w:r>
        <w:rPr>
          <w:color w:val="2A2A45"/>
        </w:rPr>
        <w:t xml:space="preserve">Use only company-approved tools for storing, processing, or sharing business data.</w:t>
      </w:r>
    </w:p>
    <w:p>
      <w:pPr>
        <w:pStyle w:val="ListParagraph"/>
        <w:numPr>
          <w:ilvl w:val="0"/>
          <w:numId w:val="2"/>
        </w:numPr>
        <w:spacing w:after="120"/>
      </w:pPr>
      <w:r>
        <w:rPr>
          <w:color w:val="2A2A45"/>
        </w:rPr>
        <w:t xml:space="preserve">Report suspected security incidents immediately.</w:t>
      </w:r>
    </w:p>
    <w:p>
      <w:pPr>
        <w:pStyle w:val="ListParagraph"/>
        <w:numPr>
          <w:ilvl w:val="0"/>
          <w:numId w:val="2"/>
        </w:numPr>
        <w:spacing w:after="120"/>
      </w:pPr>
      <w:r>
        <w:rPr>
          <w:color w:val="2A2A45"/>
        </w:rPr>
        <w:t xml:space="preserve">Respect intellectual property and licensing terms of all software and content.</w:t>
      </w:r>
    </w:p>
    <w:p>
      <w:pPr>
        <w:keepNext/>
        <w:spacing w:after="160" w:before="320"/>
      </w:pPr>
      <w:r>
        <w:rPr>
          <w:b/>
          <w:bCs/>
          <w:color w:val="D63384"/>
          <w:sz w:val="24"/>
          <w:szCs w:val="24"/>
        </w:rPr>
        <w:t xml:space="preserve">3.  </w:t>
      </w:r>
      <w:r>
        <w:rPr>
          <w:b/>
          <w:bCs/>
          <w:color w:val="1A1A3A"/>
          <w:sz w:val="24"/>
          <w:szCs w:val="24"/>
        </w:rPr>
        <w:t xml:space="preserve">Prohibited Activities</w:t>
      </w:r>
    </w:p>
    <w:p>
      <w:pPr>
        <w:spacing w:after="160"/>
      </w:pPr>
      <w:r>
        <w:rPr>
          <w:color w:val="2A2A45"/>
        </w:rPr>
        <w:t xml:space="preserve">The following activities are strictly prohibited:</w:t>
      </w:r>
    </w:p>
    <w:p>
      <w:pPr>
        <w:pStyle w:val="ListParagraph"/>
        <w:numPr>
          <w:ilvl w:val="0"/>
          <w:numId w:val="2"/>
        </w:numPr>
        <w:spacing w:after="120"/>
      </w:pPr>
      <w:r>
        <w:rPr>
          <w:color w:val="2A2A45"/>
        </w:rPr>
        <w:t xml:space="preserve">Accessing PHI or other sensitive data without a legitimate business need.</w:t>
      </w:r>
    </w:p>
    <w:p>
      <w:pPr>
        <w:pStyle w:val="ListParagraph"/>
        <w:numPr>
          <w:ilvl w:val="0"/>
          <w:numId w:val="2"/>
        </w:numPr>
        <w:spacing w:after="120"/>
      </w:pPr>
      <w:r>
        <w:rPr>
          <w:color w:val="2A2A45"/>
        </w:rPr>
        <w:t xml:space="preserve">Sharing credentials, MFA codes, or access tokens with any other person.</w:t>
      </w:r>
    </w:p>
    <w:p>
      <w:pPr>
        <w:pStyle w:val="ListParagraph"/>
        <w:numPr>
          <w:ilvl w:val="0"/>
          <w:numId w:val="2"/>
        </w:numPr>
        <w:spacing w:after="120"/>
      </w:pPr>
      <w:r>
        <w:rPr>
          <w:color w:val="2A2A45"/>
        </w:rPr>
        <w:t xml:space="preserve">Using personal email, personal cloud storage, or unapproved SaaS tools for business data.</w:t>
      </w:r>
    </w:p>
    <w:p>
      <w:pPr>
        <w:pStyle w:val="ListParagraph"/>
        <w:numPr>
          <w:ilvl w:val="0"/>
          <w:numId w:val="2"/>
        </w:numPr>
        <w:spacing w:after="120"/>
      </w:pPr>
      <w:r>
        <w:rPr>
          <w:color w:val="2A2A45"/>
        </w:rPr>
        <w:t xml:space="preserve">Installing unauthorized software on workforce devices.</w:t>
      </w:r>
    </w:p>
    <w:p>
      <w:pPr>
        <w:pStyle w:val="ListParagraph"/>
        <w:numPr>
          <w:ilvl w:val="0"/>
          <w:numId w:val="2"/>
        </w:numPr>
        <w:spacing w:after="120"/>
      </w:pPr>
      <w:r>
        <w:rPr>
          <w:color w:val="2A2A45"/>
        </w:rPr>
        <w:t xml:space="preserve">Attempting to bypass security controls (firewalls, MFA, access restrictions).</w:t>
      </w:r>
    </w:p>
    <w:p>
      <w:pPr>
        <w:pStyle w:val="ListParagraph"/>
        <w:numPr>
          <w:ilvl w:val="0"/>
          <w:numId w:val="2"/>
        </w:numPr>
        <w:spacing w:after="120"/>
      </w:pPr>
      <w:r>
        <w:rPr>
          <w:color w:val="2A2A45"/>
        </w:rPr>
        <w:t xml:space="preserve">Storing PHI on personal devices or in personal accounts.</w:t>
      </w:r>
    </w:p>
    <w:p>
      <w:pPr>
        <w:pStyle w:val="ListParagraph"/>
        <w:numPr>
          <w:ilvl w:val="0"/>
          <w:numId w:val="2"/>
        </w:numPr>
        <w:spacing w:after="120"/>
      </w:pPr>
      <w:r>
        <w:rPr>
          <w:color w:val="2A2A45"/>
        </w:rPr>
        <w:t xml:space="preserve">Transmitting PHI via unencrypted channels (personal email, SMS, consumer messaging apps).</w:t>
      </w:r>
    </w:p>
    <w:p>
      <w:pPr>
        <w:pStyle w:val="ListParagraph"/>
        <w:numPr>
          <w:ilvl w:val="0"/>
          <w:numId w:val="2"/>
        </w:numPr>
        <w:spacing w:after="120"/>
      </w:pPr>
      <w:r>
        <w:rPr>
          <w:color w:val="2A2A45"/>
        </w:rPr>
        <w:t xml:space="preserve">Using AI tools that have not been approved and do not have a BAA, for any workflow involving PHI.</w:t>
      </w:r>
    </w:p>
    <w:p>
      <w:pPr>
        <w:pStyle w:val="ListParagraph"/>
        <w:numPr>
          <w:ilvl w:val="0"/>
          <w:numId w:val="2"/>
        </w:numPr>
        <w:spacing w:after="120"/>
      </w:pPr>
      <w:r>
        <w:rPr>
          <w:color w:val="2A2A45"/>
        </w:rPr>
        <w:t xml:space="preserve">Downloading, copying, or exporting PHI except as required for authorized work.</w:t>
      </w:r>
    </w:p>
    <w:p>
      <w:pPr>
        <w:pStyle w:val="ListParagraph"/>
        <w:numPr>
          <w:ilvl w:val="0"/>
          <w:numId w:val="2"/>
        </w:numPr>
        <w:spacing w:after="120"/>
      </w:pPr>
      <w:r>
        <w:rPr>
          <w:color w:val="2A2A45"/>
        </w:rPr>
        <w:t xml:space="preserve">Discussing patient-identifiable information in public places, social media, or with unauthorized persons.</w:t>
      </w:r>
    </w:p>
    <w:p>
      <w:pPr>
        <w:keepNext/>
        <w:spacing w:after="160" w:before="320"/>
      </w:pPr>
      <w:r>
        <w:rPr>
          <w:b/>
          <w:bCs/>
          <w:color w:val="D63384"/>
          <w:sz w:val="24"/>
          <w:szCs w:val="24"/>
        </w:rPr>
        <w:t xml:space="preserve">4.  </w:t>
      </w:r>
      <w:r>
        <w:rPr>
          <w:b/>
          <w:bCs/>
          <w:color w:val="1A1A3A"/>
          <w:sz w:val="24"/>
          <w:szCs w:val="24"/>
        </w:rPr>
        <w:t xml:space="preserve">Device Requirements</w:t>
      </w:r>
    </w:p>
    <w:p>
      <w:pPr>
        <w:spacing w:after="160"/>
      </w:pPr>
      <w:r>
        <w:rPr>
          <w:color w:val="2A2A45"/>
        </w:rPr>
        <w:t xml:space="preserve">Workforce members accessing Rinnova systems must use devices that meet the following minimum requirements:</w:t>
      </w:r>
    </w:p>
    <w:p>
      <w:pPr>
        <w:pStyle w:val="ListParagraph"/>
        <w:numPr>
          <w:ilvl w:val="0"/>
          <w:numId w:val="2"/>
        </w:numPr>
        <w:spacing w:after="120"/>
      </w:pPr>
      <w:r>
        <w:rPr>
          <w:color w:val="2A2A45"/>
        </w:rPr>
        <w:t xml:space="preserve">Full-disk encryption enabled (FileVault on macOS, BitLocker on Windows).</w:t>
      </w:r>
    </w:p>
    <w:p>
      <w:pPr>
        <w:pStyle w:val="ListParagraph"/>
        <w:numPr>
          <w:ilvl w:val="0"/>
          <w:numId w:val="2"/>
        </w:numPr>
        <w:spacing w:after="120"/>
      </w:pPr>
      <w:r>
        <w:rPr>
          <w:color w:val="2A2A45"/>
        </w:rPr>
        <w:t xml:space="preserve">Current operating system with automatic security updates enabled.</w:t>
      </w:r>
    </w:p>
    <w:p>
      <w:pPr>
        <w:pStyle w:val="ListParagraph"/>
        <w:numPr>
          <w:ilvl w:val="0"/>
          <w:numId w:val="2"/>
        </w:numPr>
        <w:spacing w:after="120"/>
      </w:pPr>
      <w:r>
        <w:rPr>
          <w:color w:val="2A2A45"/>
        </w:rPr>
        <w:t xml:space="preserve">Screen lock with strong password, PIN, or biometric, engaging within 10 minutes of inactivity.</w:t>
      </w:r>
    </w:p>
    <w:p>
      <w:pPr>
        <w:pStyle w:val="ListParagraph"/>
        <w:numPr>
          <w:ilvl w:val="0"/>
          <w:numId w:val="2"/>
        </w:numPr>
        <w:spacing w:after="120"/>
      </w:pPr>
      <w:r>
        <w:rPr>
          <w:color w:val="2A2A45"/>
        </w:rPr>
        <w:t xml:space="preserve">Reputable anti-malware software installed and current.</w:t>
      </w:r>
    </w:p>
    <w:p>
      <w:pPr>
        <w:pStyle w:val="ListParagraph"/>
        <w:numPr>
          <w:ilvl w:val="0"/>
          <w:numId w:val="2"/>
        </w:numPr>
        <w:spacing w:after="120"/>
      </w:pPr>
      <w:r>
        <w:rPr>
          <w:color w:val="2A2A45"/>
        </w:rPr>
        <w:t xml:space="preserve">No shared use with family members or others.</w:t>
      </w:r>
    </w:p>
    <w:p>
      <w:pPr>
        <w:spacing w:after="160"/>
      </w:pPr>
      <w:r>
        <w:rPr>
          <w:color w:val="2A2A45"/>
        </w:rPr>
        <w:t xml:space="preserve">Personal devices used for work (BYOD) must meet the same standards. Rinnova may require installation of device management software as a condition of accessing sensitive systems.</w:t>
      </w:r>
    </w:p>
    <w:p>
      <w:pPr>
        <w:keepNext/>
        <w:spacing w:after="160" w:before="320"/>
      </w:pPr>
      <w:r>
        <w:rPr>
          <w:b/>
          <w:bCs/>
          <w:color w:val="D63384"/>
          <w:sz w:val="24"/>
          <w:szCs w:val="24"/>
        </w:rPr>
        <w:t xml:space="preserve">5.  </w:t>
      </w:r>
      <w:r>
        <w:rPr>
          <w:b/>
          <w:bCs/>
          <w:color w:val="1A1A3A"/>
          <w:sz w:val="24"/>
          <w:szCs w:val="24"/>
        </w:rPr>
        <w:t xml:space="preserve">Credentials and Authentication</w:t>
      </w:r>
    </w:p>
    <w:p>
      <w:pPr>
        <w:pStyle w:val="ListParagraph"/>
        <w:numPr>
          <w:ilvl w:val="0"/>
          <w:numId w:val="2"/>
        </w:numPr>
        <w:spacing w:after="120"/>
      </w:pPr>
      <w:r>
        <w:rPr>
          <w:color w:val="2A2A45"/>
        </w:rPr>
        <w:t xml:space="preserve">Use strong, unique passwords for all business accounts (12+ characters, not reused).</w:t>
      </w:r>
    </w:p>
    <w:p>
      <w:pPr>
        <w:pStyle w:val="ListParagraph"/>
        <w:numPr>
          <w:ilvl w:val="0"/>
          <w:numId w:val="2"/>
        </w:numPr>
        <w:spacing w:after="120"/>
      </w:pPr>
      <w:r>
        <w:rPr>
          <w:color w:val="2A2A45"/>
        </w:rPr>
        <w:t xml:space="preserve">Store passwords only in an approved password manager.</w:t>
      </w:r>
    </w:p>
    <w:p>
      <w:pPr>
        <w:pStyle w:val="ListParagraph"/>
        <w:numPr>
          <w:ilvl w:val="0"/>
          <w:numId w:val="2"/>
        </w:numPr>
        <w:spacing w:after="120"/>
      </w:pPr>
      <w:r>
        <w:rPr>
          <w:color w:val="2A2A45"/>
        </w:rPr>
        <w:t xml:space="preserve">Enable MFA on every system that supports it.</w:t>
      </w:r>
    </w:p>
    <w:p>
      <w:pPr>
        <w:pStyle w:val="ListParagraph"/>
        <w:numPr>
          <w:ilvl w:val="0"/>
          <w:numId w:val="2"/>
        </w:numPr>
        <w:spacing w:after="120"/>
      </w:pPr>
      <w:r>
        <w:rPr>
          <w:color w:val="2A2A45"/>
        </w:rPr>
        <w:t xml:space="preserve">Never share credentials, even with the Security Officer — use formal access provisioning instead.</w:t>
      </w:r>
    </w:p>
    <w:p>
      <w:pPr>
        <w:pStyle w:val="ListParagraph"/>
        <w:numPr>
          <w:ilvl w:val="0"/>
          <w:numId w:val="2"/>
        </w:numPr>
        <w:spacing w:after="120"/>
      </w:pPr>
      <w:r>
        <w:rPr>
          <w:color w:val="2A2A45"/>
        </w:rPr>
        <w:t xml:space="preserve">Report lost or stolen credentials or devices immediately.</w:t>
      </w:r>
    </w:p>
    <w:p>
      <w:pPr>
        <w:keepNext/>
        <w:spacing w:after="160" w:before="320"/>
      </w:pPr>
      <w:r>
        <w:rPr>
          <w:b/>
          <w:bCs/>
          <w:color w:val="D63384"/>
          <w:sz w:val="24"/>
          <w:szCs w:val="24"/>
        </w:rPr>
        <w:t xml:space="preserve">6.  </w:t>
      </w:r>
      <w:r>
        <w:rPr>
          <w:b/>
          <w:bCs/>
          <w:color w:val="1A1A3A"/>
          <w:sz w:val="24"/>
          <w:szCs w:val="24"/>
        </w:rPr>
        <w:t xml:space="preserve">Email, Messaging, and AI Tools</w:t>
      </w:r>
    </w:p>
    <w:p>
      <w:pPr>
        <w:pStyle w:val="ListParagraph"/>
        <w:numPr>
          <w:ilvl w:val="0"/>
          <w:numId w:val="2"/>
        </w:numPr>
        <w:spacing w:after="120"/>
      </w:pPr>
      <w:r>
        <w:rPr>
          <w:color w:val="2A2A45"/>
        </w:rPr>
        <w:t xml:space="preserve">Use only company-issued email for business communications.</w:t>
      </w:r>
    </w:p>
    <w:p>
      <w:pPr>
        <w:pStyle w:val="ListParagraph"/>
        <w:numPr>
          <w:ilvl w:val="0"/>
          <w:numId w:val="2"/>
        </w:numPr>
        <w:spacing w:after="120"/>
      </w:pPr>
      <w:r>
        <w:rPr>
          <w:color w:val="2A2A45"/>
        </w:rPr>
        <w:t xml:space="preserve">Verify sender identity before clicking links or opening attachments; report suspected phishing.</w:t>
      </w:r>
    </w:p>
    <w:p>
      <w:pPr>
        <w:pStyle w:val="ListParagraph"/>
        <w:numPr>
          <w:ilvl w:val="0"/>
          <w:numId w:val="2"/>
        </w:numPr>
        <w:spacing w:after="120"/>
      </w:pPr>
      <w:r>
        <w:rPr>
          <w:color w:val="2A2A45"/>
        </w:rPr>
        <w:t xml:space="preserve">Do not forward business email to personal accounts.</w:t>
      </w:r>
    </w:p>
    <w:p>
      <w:pPr>
        <w:pStyle w:val="ListParagraph"/>
        <w:numPr>
          <w:ilvl w:val="0"/>
          <w:numId w:val="2"/>
        </w:numPr>
        <w:spacing w:after="120"/>
      </w:pPr>
      <w:r>
        <w:rPr>
          <w:color w:val="2A2A45"/>
        </w:rPr>
        <w:t xml:space="preserve">Do not paste PHI into consumer AI tools (ChatGPT, consumer-grade assistants, etc.) — use only AI tools that have a signed BAA.</w:t>
      </w:r>
    </w:p>
    <w:p>
      <w:pPr>
        <w:pStyle w:val="ListParagraph"/>
        <w:numPr>
          <w:ilvl w:val="0"/>
          <w:numId w:val="2"/>
        </w:numPr>
        <w:spacing w:after="120"/>
      </w:pPr>
      <w:r>
        <w:rPr>
          <w:color w:val="2A2A45"/>
        </w:rPr>
        <w:t xml:space="preserve">Do not use consumer messaging apps for any communication containing PHI.</w:t>
      </w:r>
    </w:p>
    <w:p>
      <w:pPr>
        <w:keepNext/>
        <w:spacing w:after="160" w:before="320"/>
      </w:pPr>
      <w:r>
        <w:rPr>
          <w:b/>
          <w:bCs/>
          <w:color w:val="D63384"/>
          <w:sz w:val="24"/>
          <w:szCs w:val="24"/>
        </w:rPr>
        <w:t xml:space="preserve">7.  </w:t>
      </w:r>
      <w:r>
        <w:rPr>
          <w:b/>
          <w:bCs/>
          <w:color w:val="1A1A3A"/>
          <w:sz w:val="24"/>
          <w:szCs w:val="24"/>
        </w:rPr>
        <w:t xml:space="preserve">Remote Work</w:t>
      </w:r>
    </w:p>
    <w:p>
      <w:pPr>
        <w:pStyle w:val="ListParagraph"/>
        <w:numPr>
          <w:ilvl w:val="0"/>
          <w:numId w:val="2"/>
        </w:numPr>
        <w:spacing w:after="120"/>
      </w:pPr>
      <w:r>
        <w:rPr>
          <w:color w:val="2A2A45"/>
        </w:rPr>
        <w:t xml:space="preserve">Use a secure, trusted network — avoid open public Wi-Fi for sensitive work.</w:t>
      </w:r>
    </w:p>
    <w:p>
      <w:pPr>
        <w:pStyle w:val="ListParagraph"/>
        <w:numPr>
          <w:ilvl w:val="0"/>
          <w:numId w:val="2"/>
        </w:numPr>
        <w:spacing w:after="120"/>
      </w:pPr>
      <w:r>
        <w:rPr>
          <w:color w:val="2A2A45"/>
        </w:rPr>
        <w:t xml:space="preserve">Position screens so PHI is not visible to bystanders (cafes, airports, co-working spaces).</w:t>
      </w:r>
    </w:p>
    <w:p>
      <w:pPr>
        <w:pStyle w:val="ListParagraph"/>
        <w:numPr>
          <w:ilvl w:val="0"/>
          <w:numId w:val="2"/>
        </w:numPr>
        <w:spacing w:after="120"/>
      </w:pPr>
      <w:r>
        <w:rPr>
          <w:color w:val="2A2A45"/>
        </w:rPr>
        <w:t xml:space="preserve">Do not conduct sensitive voice calls in public places.</w:t>
      </w:r>
    </w:p>
    <w:p>
      <w:pPr>
        <w:pStyle w:val="ListParagraph"/>
        <w:numPr>
          <w:ilvl w:val="0"/>
          <w:numId w:val="2"/>
        </w:numPr>
        <w:spacing w:after="120"/>
      </w:pPr>
      <w:r>
        <w:rPr>
          <w:color w:val="2A2A45"/>
        </w:rPr>
        <w:t xml:space="preserve">Secure workstations when unattended.</w:t>
      </w:r>
    </w:p>
    <w:p>
      <w:pPr>
        <w:keepNext/>
        <w:spacing w:after="160" w:before="320"/>
      </w:pPr>
      <w:r>
        <w:rPr>
          <w:b/>
          <w:bCs/>
          <w:color w:val="D63384"/>
          <w:sz w:val="24"/>
          <w:szCs w:val="24"/>
        </w:rPr>
        <w:t xml:space="preserve">8.  </w:t>
      </w:r>
      <w:r>
        <w:rPr>
          <w:b/>
          <w:bCs/>
          <w:color w:val="1A1A3A"/>
          <w:sz w:val="24"/>
          <w:szCs w:val="24"/>
        </w:rPr>
        <w:t xml:space="preserve">Monitoring</w:t>
      </w:r>
    </w:p>
    <w:p>
      <w:pPr>
        <w:spacing w:after="160"/>
      </w:pPr>
      <w:r>
        <w:rPr>
          <w:color w:val="2A2A45"/>
        </w:rPr>
        <w:t xml:space="preserve">Rinnova may monitor access and use of company systems to detect unauthorized activity, ensure compliance, and investigate incidents. Workforce members should have no expectation of privacy in their use of company systems.</w:t>
      </w:r>
    </w:p>
    <w:p>
      <w:pPr>
        <w:keepNext/>
        <w:spacing w:after="160" w:before="320"/>
      </w:pPr>
      <w:r>
        <w:rPr>
          <w:b/>
          <w:bCs/>
          <w:color w:val="D63384"/>
          <w:sz w:val="24"/>
          <w:szCs w:val="24"/>
        </w:rPr>
        <w:t xml:space="preserve">9.  </w:t>
      </w:r>
      <w:r>
        <w:rPr>
          <w:b/>
          <w:bCs/>
          <w:color w:val="1A1A3A"/>
          <w:sz w:val="24"/>
          <w:szCs w:val="24"/>
        </w:rPr>
        <w:t xml:space="preserve">Reporting Concerns</w:t>
      </w:r>
    </w:p>
    <w:p>
      <w:pPr>
        <w:spacing w:after="160"/>
      </w:pPr>
      <w:r>
        <w:rPr>
          <w:color w:val="2A2A45"/>
        </w:rPr>
        <w:t xml:space="preserve">Report suspected violations of this policy, security incidents, or privacy concerns to info@tondo-digital.com. Good-faith reports are protected from retaliation.</w:t>
      </w:r>
    </w:p>
    <w:p>
      <w:pPr>
        <w:keepNext/>
        <w:spacing w:after="160" w:before="320"/>
      </w:pPr>
      <w:r>
        <w:rPr>
          <w:b/>
          <w:bCs/>
          <w:color w:val="D63384"/>
          <w:sz w:val="24"/>
          <w:szCs w:val="24"/>
        </w:rPr>
        <w:t xml:space="preserve">10.  </w:t>
      </w:r>
      <w:r>
        <w:rPr>
          <w:b/>
          <w:bCs/>
          <w:color w:val="1A1A3A"/>
          <w:sz w:val="24"/>
          <w:szCs w:val="24"/>
        </w:rPr>
        <w:t xml:space="preserve">Violations</w:t>
      </w:r>
    </w:p>
    <w:p>
      <w:pPr>
        <w:spacing w:after="160"/>
      </w:pPr>
      <w:r>
        <w:rPr>
          <w:color w:val="2A2A45"/>
        </w:rPr>
        <w:t xml:space="preserve">Violations of this policy may result in disciplinary action up to and including termination, loss of access, and where applicable, civil or criminal penalties.</w:t>
      </w:r>
    </w:p>
    <w:p>
      <w:pPr>
        <w:keepNext/>
        <w:spacing w:after="160" w:before="320"/>
      </w:pPr>
      <w:r>
        <w:rPr>
          <w:b/>
          <w:bCs/>
          <w:color w:val="D63384"/>
          <w:sz w:val="24"/>
          <w:szCs w:val="24"/>
        </w:rPr>
        <w:t xml:space="preserve">11.  </w:t>
      </w:r>
      <w:r>
        <w:rPr>
          <w:b/>
          <w:bCs/>
          <w:color w:val="1A1A3A"/>
          <w:sz w:val="24"/>
          <w:szCs w:val="24"/>
        </w:rPr>
        <w:t xml:space="preserve">Acknowledgment</w:t>
      </w:r>
    </w:p>
    <w:p>
      <w:pPr>
        <w:spacing w:after="160"/>
      </w:pPr>
      <w:r>
        <w:rPr>
          <w:color w:val="2A2A45"/>
        </w:rPr>
        <w:t xml:space="preserve">By accessing Rinnova systems, workforce members acknowledge they have read, understood, and agree to comply with this policy. A signed acknowledgment is required at onboarding and annually thereafter.</w:t>
      </w:r>
    </w:p>
    <w:p>
      <w:pPr>
        <w:pBdr>
          <w:bottom w:val="single" w:color="CCCCCC" w:sz="6" w:space="6"/>
        </w:pBdr>
        <w:spacing w:after="200" w:before="400"/>
      </w:pPr>
      <w:r>
        <w:t xml:space="preserve"/>
      </w:r>
    </w:p>
    <w:p>
      <w:pPr>
        <w:spacing w:after="160" w:before="120"/>
      </w:pPr>
      <w:r>
        <w:rPr>
          <w:b/>
          <w:bCs/>
          <w:color w:val="1A1A3A"/>
          <w:sz w:val="22"/>
          <w:szCs w:val="22"/>
        </w:rPr>
        <w:t xml:space="preserve">Workforce Acknowledgment</w:t>
      </w:r>
    </w:p>
    <w:p>
      <w:pPr>
        <w:spacing w:after="160"/>
      </w:pPr>
      <w:r>
        <w:rPr>
          <w:color w:val="2A2A45"/>
        </w:rPr>
        <w:t xml:space="preserve">I have read and agree to comply with the Rinnova Acceptable Use Policy.</w:t>
      </w:r>
    </w:p>
    <w:p>
      <w:pPr>
        <w:spacing w:after="120" w:before="160"/>
      </w:pPr>
      <w:r>
        <w:rPr>
          <w:color w:val="2A2A45"/>
        </w:rPr>
        <w:t xml:space="preserve">Name: ________________________________________</w:t>
      </w:r>
    </w:p>
    <w:p>
      <w:pPr>
        <w:spacing w:after="120"/>
      </w:pPr>
      <w:r>
        <w:rPr>
          <w:color w:val="2A2A45"/>
        </w:rPr>
        <w:t xml:space="preserve">Signature: _____________________________________</w:t>
      </w:r>
    </w:p>
    <w:p>
      <w:pPr>
        <w:spacing w:after="120"/>
      </w:pPr>
      <w:r>
        <w:rPr>
          <w:color w:val="2A2A45"/>
        </w:rPr>
        <w:t xml:space="preserve">Date: __________________</w:t>
      </w:r>
    </w:p>
    <w:p>
      <w:pPr>
        <w:pBdr>
          <w:bottom w:val="single" w:color="CCCCCC" w:sz="6" w:space="6"/>
        </w:pBdr>
        <w:spacing w:after="120" w:before="400"/>
      </w:pPr>
      <w:r>
        <w:t xml:space="preserve"/>
      </w:r>
    </w:p>
    <w:p>
      <w:pPr>
        <w:spacing w:after="120" w:before="120"/>
      </w:pPr>
      <w:r>
        <w:rPr>
          <w:b/>
          <w:bCs/>
          <w:color w:val="1A1A3A"/>
          <w:sz w:val="22"/>
          <w:szCs w:val="22"/>
        </w:rPr>
        <w:t xml:space="preserve">Revision History</w:t>
      </w:r>
    </w:p>
    <w:p>
      <w:pPr>
        <w:spacing w:after="40"/>
      </w:pPr>
      <w:r>
        <w:rPr>
          <w:b/>
          <w:bCs/>
          <w:color w:val="1A1A3A"/>
        </w:rPr>
        <w:t xml:space="preserve">v1.0</w:t>
      </w:r>
      <w:r>
        <w:rPr>
          <w:color w:val="2A2A45"/>
        </w:rPr>
        <w:t xml:space="preserve">    [Effective Date]    Initial version.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Rinnova Acceptable Use Policy</dc:title>
  <dc:creator>Tondo</dc:creator>
  <cp:lastModifiedBy>Un-named</cp:lastModifiedBy>
  <cp:revision>1</cp:revision>
  <dcterms:created xsi:type="dcterms:W3CDTF">2026-04-21T15:56:09.812Z</dcterms:created>
  <dcterms:modified xsi:type="dcterms:W3CDTF">2026-04-21T15:56:09.814Z</dcterms:modified>
</cp:coreProperties>
</file>

<file path=docProps/custom.xml><?xml version="1.0" encoding="utf-8"?>
<Properties xmlns="http://schemas.openxmlformats.org/officeDocument/2006/custom-properties" xmlns:vt="http://schemas.openxmlformats.org/officeDocument/2006/docPropsVTypes"/>
</file>