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1A0F3D"/>
          <w:spacing w:val="80"/>
          <w:sz w:val="20"/>
          <w:szCs w:val="20"/>
        </w:rPr>
        <w:t xml:space="preserve">TONDO</w:t>
      </w:r>
    </w:p>
    <w:p>
      <w:pPr>
        <w:pBdr>
          <w:bottom w:val="single" w:color="D63384" w:sz="8" w:space="8"/>
        </w:pBdr>
        <w:spacing w:after="480"/>
      </w:pPr>
      <w:r>
        <w:rPr>
          <w:color w:val="707090"/>
          <w:spacing w:val="60"/>
          <w:sz w:val="16"/>
          <w:szCs w:val="16"/>
        </w:rPr>
        <w:t xml:space="preserve">RINNOVA · DATA GOVERNANCE</w:t>
      </w:r>
    </w:p>
    <w:p>
      <w:pPr>
        <w:spacing w:after="120"/>
        <w:jc w:val="center"/>
      </w:pPr>
      <w:r>
        <w:rPr>
          <w:rFonts w:ascii="Georgia" w:cs="Georgia" w:eastAsia="Georgia" w:hAnsi="Georgia"/>
          <w:color w:val="1A1A3A"/>
          <w:sz w:val="40"/>
          <w:szCs w:val="40"/>
        </w:rPr>
        <w:t xml:space="preserve">Data Retention &amp; Disposal Policy</w:t>
      </w:r>
    </w:p>
    <w:p>
      <w:pPr>
        <w:spacing w:after="400"/>
        <w:jc w:val="center"/>
      </w:pPr>
      <w:r>
        <w:rPr>
          <w:i/>
          <w:iCs/>
          <w:color w:val="707090"/>
          <w:sz w:val="20"/>
          <w:szCs w:val="20"/>
        </w:rPr>
        <w:t xml:space="preserve">What data is kept, for how long, and how it is destroyed</w:t>
      </w:r>
    </w:p>
    <w:p>
      <w:pPr>
        <w:spacing w:after="40"/>
      </w:pPr>
      <w:r>
        <w:rPr>
          <w:b/>
          <w:bCs/>
          <w:color w:val="1A1A3A"/>
          <w:sz w:val="18"/>
          <w:szCs w:val="18"/>
        </w:rPr>
        <w:t xml:space="preserve">Document:  </w:t>
      </w:r>
      <w:r>
        <w:rPr>
          <w:color w:val="2A2A45"/>
          <w:sz w:val="18"/>
          <w:szCs w:val="18"/>
        </w:rPr>
        <w:t xml:space="preserve">Rinnova Data Retention &amp; Disposal Policy</w:t>
      </w:r>
    </w:p>
    <w:p>
      <w:pPr>
        <w:spacing w:after="40"/>
      </w:pPr>
      <w:r>
        <w:rPr>
          <w:b/>
          <w:bCs/>
          <w:color w:val="1A1A3A"/>
          <w:sz w:val="18"/>
          <w:szCs w:val="18"/>
        </w:rPr>
        <w:t xml:space="preserve">Version:  </w:t>
      </w:r>
      <w:r>
        <w:rPr>
          <w:color w:val="2A2A45"/>
          <w:sz w:val="18"/>
          <w:szCs w:val="18"/>
        </w:rPr>
        <w:t xml:space="preserve">1.0</w:t>
      </w:r>
    </w:p>
    <w:p>
      <w:pPr>
        <w:spacing w:after="40"/>
      </w:pPr>
      <w:r>
        <w:rPr>
          <w:b/>
          <w:bCs/>
          <w:color w:val="1A1A3A"/>
          <w:sz w:val="18"/>
          <w:szCs w:val="18"/>
        </w:rPr>
        <w:t xml:space="preserve">Effective Date:  </w:t>
      </w:r>
      <w:r>
        <w:rPr>
          <w:color w:val="2A2A45"/>
          <w:sz w:val="18"/>
          <w:szCs w:val="18"/>
        </w:rPr>
        <w:t xml:space="preserve">[Effective Date]</w:t>
      </w:r>
    </w:p>
    <w:p>
      <w:pPr>
        <w:spacing w:after="40"/>
      </w:pPr>
      <w:r>
        <w:rPr>
          <w:b/>
          <w:bCs/>
          <w:color w:val="1A1A3A"/>
          <w:sz w:val="18"/>
          <w:szCs w:val="18"/>
        </w:rPr>
        <w:t xml:space="preserve">Review Cycle:  </w:t>
      </w:r>
      <w:r>
        <w:rPr>
          <w:color w:val="2A2A45"/>
          <w:sz w:val="18"/>
          <w:szCs w:val="18"/>
        </w:rPr>
        <w:t xml:space="preserve">Annual</w:t>
      </w:r>
    </w:p>
    <w:p>
      <w:pPr>
        <w:spacing w:after="40"/>
      </w:pPr>
      <w:r>
        <w:rPr>
          <w:b/>
          <w:bCs/>
          <w:color w:val="1A1A3A"/>
          <w:sz w:val="18"/>
          <w:szCs w:val="18"/>
        </w:rPr>
        <w:t xml:space="preserve">Owner:  </w:t>
      </w:r>
      <w:r>
        <w:rPr>
          <w:color w:val="2A2A45"/>
          <w:sz w:val="18"/>
          <w:szCs w:val="18"/>
        </w:rPr>
        <w:t xml:space="preserve">Privacy Officer / Founder</w:t>
      </w:r>
    </w:p>
    <w:p>
      <w:pPr>
        <w:spacing w:after="40"/>
      </w:pPr>
      <w:r>
        <w:rPr>
          <w:b/>
          <w:bCs/>
          <w:color w:val="1A1A3A"/>
          <w:sz w:val="18"/>
          <w:szCs w:val="18"/>
        </w:rPr>
        <w:t xml:space="preserve">Approved By:  </w:t>
      </w:r>
      <w:r>
        <w:rPr>
          <w:color w:val="2A2A45"/>
          <w:sz w:val="18"/>
          <w:szCs w:val="18"/>
        </w:rPr>
        <w:t xml:space="preserve">[Founder Name]</w:t>
      </w:r>
    </w:p>
    <w:p>
      <w:pPr>
        <w:pBdr>
          <w:bottom w:val="single" w:color="CCCCCC" w:sz="6" w:space="6"/>
        </w:pBdr>
        <w:spacing w:after="240" w:before="120"/>
      </w:pPr>
      <w:r>
        <w:t xml:space="preserve"/>
      </w:r>
    </w:p>
    <w:p>
      <w:pPr>
        <w:keepNext/>
        <w:spacing w:after="160" w:before="320"/>
      </w:pPr>
      <w:r>
        <w:rPr>
          <w:b/>
          <w:bCs/>
          <w:color w:val="D63384"/>
          <w:sz w:val="24"/>
          <w:szCs w:val="24"/>
        </w:rPr>
        <w:t xml:space="preserve">1.  </w:t>
      </w:r>
      <w:r>
        <w:rPr>
          <w:b/>
          <w:bCs/>
          <w:color w:val="1A1A3A"/>
          <w:sz w:val="24"/>
          <w:szCs w:val="24"/>
        </w:rPr>
        <w:t xml:space="preserve">Purpose and Scope</w:t>
      </w:r>
    </w:p>
    <w:p>
      <w:pPr>
        <w:spacing w:after="160"/>
      </w:pPr>
      <w:r>
        <w:rPr>
          <w:color w:val="2A2A45"/>
        </w:rPr>
        <w:t xml:space="preserve">This policy establishes minimum and maximum retention periods for data held by Rinnova and procedures for secure destruction when retention periods expire or data is no longer needed. It covers all data, including PHI, customer data, business records, and logs.</w:t>
      </w:r>
    </w:p>
    <w:p>
      <w:pPr>
        <w:keepNext/>
        <w:spacing w:after="160" w:before="320"/>
      </w:pPr>
      <w:r>
        <w:rPr>
          <w:b/>
          <w:bCs/>
          <w:color w:val="D63384"/>
          <w:sz w:val="24"/>
          <w:szCs w:val="24"/>
        </w:rPr>
        <w:t xml:space="preserve">2.  </w:t>
      </w:r>
      <w:r>
        <w:rPr>
          <w:b/>
          <w:bCs/>
          <w:color w:val="1A1A3A"/>
          <w:sz w:val="24"/>
          <w:szCs w:val="24"/>
        </w:rPr>
        <w:t xml:space="preserve">Guiding Principles</w:t>
      </w:r>
    </w:p>
    <w:p>
      <w:pPr>
        <w:pStyle w:val="ListParagraph"/>
        <w:numPr>
          <w:ilvl w:val="0"/>
          <w:numId w:val="2"/>
        </w:numPr>
        <w:spacing w:after="120"/>
      </w:pPr>
      <w:r>
        <w:rPr>
          <w:color w:val="2A2A45"/>
        </w:rPr>
        <w:t xml:space="preserve">Retain data only as long as needed for its intended purpose or as required by law.</w:t>
      </w:r>
    </w:p>
    <w:p>
      <w:pPr>
        <w:pStyle w:val="ListParagraph"/>
        <w:numPr>
          <w:ilvl w:val="0"/>
          <w:numId w:val="2"/>
        </w:numPr>
        <w:spacing w:after="120"/>
      </w:pPr>
      <w:r>
        <w:rPr>
          <w:color w:val="2A2A45"/>
        </w:rPr>
        <w:t xml:space="preserve">Retain data no longer than necessary to minimize privacy and security risk.</w:t>
      </w:r>
    </w:p>
    <w:p>
      <w:pPr>
        <w:pStyle w:val="ListParagraph"/>
        <w:numPr>
          <w:ilvl w:val="0"/>
          <w:numId w:val="2"/>
        </w:numPr>
        <w:spacing w:after="120"/>
      </w:pPr>
      <w:r>
        <w:rPr>
          <w:color w:val="2A2A45"/>
        </w:rPr>
        <w:t xml:space="preserve">Destroy data securely and irreversibly at end of retention.</w:t>
      </w:r>
    </w:p>
    <w:p>
      <w:pPr>
        <w:pStyle w:val="ListParagraph"/>
        <w:numPr>
          <w:ilvl w:val="0"/>
          <w:numId w:val="2"/>
        </w:numPr>
        <w:spacing w:after="120"/>
      </w:pPr>
      <w:r>
        <w:rPr>
          <w:color w:val="2A2A45"/>
        </w:rPr>
        <w:t xml:space="preserve">Document retention and destruction actions for auditability.</w:t>
      </w:r>
    </w:p>
    <w:p>
      <w:pPr>
        <w:keepNext/>
        <w:spacing w:after="160" w:before="320"/>
      </w:pPr>
      <w:r>
        <w:rPr>
          <w:b/>
          <w:bCs/>
          <w:color w:val="D63384"/>
          <w:sz w:val="24"/>
          <w:szCs w:val="24"/>
        </w:rPr>
        <w:t xml:space="preserve">3.  </w:t>
      </w:r>
      <w:r>
        <w:rPr>
          <w:b/>
          <w:bCs/>
          <w:color w:val="1A1A3A"/>
          <w:sz w:val="24"/>
          <w:szCs w:val="24"/>
        </w:rPr>
        <w:t xml:space="preserve">Retention Schedule</w:t>
      </w:r>
    </w:p>
    <w:p>
      <w:pPr>
        <w:spacing w:after="160"/>
      </w:pPr>
      <w:r>
        <w:rPr>
          <w:color w:val="2A2A45"/>
        </w:rPr>
        <w:t xml:space="preserve">The following retention periods apply. In the event of conflict with a Business Associate Agreement, the BAA controls.</w:t>
      </w:r>
    </w:p>
    <w:p>
      <w:pPr>
        <w:keepNext/>
        <w:spacing w:after="100" w:before="200"/>
        <w:ind w:left="360"/>
      </w:pPr>
      <w:r>
        <w:rPr>
          <w:b/>
          <w:bCs/>
          <w:color w:val="1A1A3A"/>
        </w:rPr>
        <w:t xml:space="preserve">a)  </w:t>
      </w:r>
      <w:r>
        <w:rPr>
          <w:b/>
          <w:bCs/>
          <w:color w:val="1A1A3A"/>
        </w:rPr>
        <w:t xml:space="preserve">Protected Health Information (PHI)</w:t>
      </w:r>
    </w:p>
    <w:p>
      <w:pPr>
        <w:spacing w:after="160"/>
        <w:ind w:left="360"/>
      </w:pPr>
      <w:r>
        <w:rPr>
          <w:color w:val="2A2A45"/>
        </w:rPr>
        <w:t xml:space="preserve">Retained for the duration of the underlying service agreement with the Covered Entity, plus any additional period required by the applicable BAA. Upon termination, PHI is returned or destroyed per the BAA, generally within 60 days of export confirmation.</w:t>
      </w:r>
    </w:p>
    <w:p>
      <w:pPr>
        <w:keepNext/>
        <w:spacing w:after="100" w:before="200"/>
        <w:ind w:left="360"/>
      </w:pPr>
      <w:r>
        <w:rPr>
          <w:b/>
          <w:bCs/>
          <w:color w:val="1A1A3A"/>
        </w:rPr>
        <w:t xml:space="preserve">b)  </w:t>
      </w:r>
      <w:r>
        <w:rPr>
          <w:b/>
          <w:bCs/>
          <w:color w:val="1A1A3A"/>
        </w:rPr>
        <w:t xml:space="preserve">Patient Account Data (Direct Patients)</w:t>
      </w:r>
    </w:p>
    <w:p>
      <w:pPr>
        <w:spacing w:after="160"/>
        <w:ind w:left="360"/>
      </w:pPr>
      <w:r>
        <w:rPr>
          <w:color w:val="2A2A45"/>
        </w:rPr>
        <w:t xml:space="preserve">For patients who subscribe directly (not via a Covered Entity), account data is retained while the account is active, plus 90 days post-closure. Patients may request export or deletion at any time.</w:t>
      </w:r>
    </w:p>
    <w:p>
      <w:pPr>
        <w:keepNext/>
        <w:spacing w:after="100" w:before="200"/>
        <w:ind w:left="360"/>
      </w:pPr>
      <w:r>
        <w:rPr>
          <w:b/>
          <w:bCs/>
          <w:color w:val="1A1A3A"/>
        </w:rPr>
        <w:t xml:space="preserve">c)  </w:t>
      </w:r>
      <w:r>
        <w:rPr>
          <w:b/>
          <w:bCs/>
          <w:color w:val="1A1A3A"/>
        </w:rPr>
        <w:t xml:space="preserve">Access and Audit Logs</w:t>
      </w:r>
    </w:p>
    <w:p>
      <w:pPr>
        <w:spacing w:after="160"/>
        <w:ind w:left="360"/>
      </w:pPr>
      <w:r>
        <w:rPr>
          <w:color w:val="2A2A45"/>
        </w:rPr>
        <w:t xml:space="preserve">Retained for a minimum of six (6) years from the date of the logged event, per HIPAA Security Rule requirements.</w:t>
      </w:r>
    </w:p>
    <w:p>
      <w:pPr>
        <w:keepNext/>
        <w:spacing w:after="100" w:before="200"/>
        <w:ind w:left="360"/>
      </w:pPr>
      <w:r>
        <w:rPr>
          <w:b/>
          <w:bCs/>
          <w:color w:val="1A1A3A"/>
        </w:rPr>
        <w:t xml:space="preserve">d)  </w:t>
      </w:r>
      <w:r>
        <w:rPr>
          <w:b/>
          <w:bCs/>
          <w:color w:val="1A1A3A"/>
        </w:rPr>
        <w:t xml:space="preserve">Policy and Training Records</w:t>
      </w:r>
    </w:p>
    <w:p>
      <w:pPr>
        <w:spacing w:after="160"/>
        <w:ind w:left="360"/>
      </w:pPr>
      <w:r>
        <w:rPr>
          <w:color w:val="2A2A45"/>
        </w:rPr>
        <w:t xml:space="preserve">HIPAA-required documentation — policies, training records, risk assessments, incident reports — is retained for a minimum of six (6) years from the date of creation or the date when last in effect, whichever is later.</w:t>
      </w:r>
    </w:p>
    <w:p>
      <w:pPr>
        <w:keepNext/>
        <w:spacing w:after="100" w:before="200"/>
        <w:ind w:left="360"/>
      </w:pPr>
      <w:r>
        <w:rPr>
          <w:b/>
          <w:bCs/>
          <w:color w:val="1A1A3A"/>
        </w:rPr>
        <w:t xml:space="preserve">e)  </w:t>
      </w:r>
      <w:r>
        <w:rPr>
          <w:b/>
          <w:bCs/>
          <w:color w:val="1A1A3A"/>
        </w:rPr>
        <w:t xml:space="preserve">Business and Financial Records</w:t>
      </w:r>
    </w:p>
    <w:p>
      <w:pPr>
        <w:spacing w:after="160"/>
        <w:ind w:left="360"/>
      </w:pPr>
      <w:r>
        <w:rPr>
          <w:color w:val="2A2A45"/>
        </w:rPr>
        <w:t xml:space="preserve">Retained for seven (7) years per general IRS and SOX guidance. Specific documents may be retained longer based on counsel.</w:t>
      </w:r>
    </w:p>
    <w:p>
      <w:pPr>
        <w:keepNext/>
        <w:spacing w:after="100" w:before="200"/>
        <w:ind w:left="360"/>
      </w:pPr>
      <w:r>
        <w:rPr>
          <w:b/>
          <w:bCs/>
          <w:color w:val="1A1A3A"/>
        </w:rPr>
        <w:t xml:space="preserve">f)  </w:t>
      </w:r>
      <w:r>
        <w:rPr>
          <w:b/>
          <w:bCs/>
          <w:color w:val="1A1A3A"/>
        </w:rPr>
        <w:t xml:space="preserve">Employment and Contractor Records</w:t>
      </w:r>
    </w:p>
    <w:p>
      <w:pPr>
        <w:spacing w:after="160"/>
        <w:ind w:left="360"/>
      </w:pPr>
      <w:r>
        <w:rPr>
          <w:color w:val="2A2A45"/>
        </w:rPr>
        <w:t xml:space="preserve">Personnel files retained for seven (7) years after termination. I-9 forms retained per federal requirements.</w:t>
      </w:r>
    </w:p>
    <w:p>
      <w:pPr>
        <w:keepNext/>
        <w:spacing w:after="100" w:before="200"/>
        <w:ind w:left="360"/>
      </w:pPr>
      <w:r>
        <w:rPr>
          <w:b/>
          <w:bCs/>
          <w:color w:val="1A1A3A"/>
        </w:rPr>
        <w:t xml:space="preserve">g)  </w:t>
      </w:r>
      <w:r>
        <w:rPr>
          <w:b/>
          <w:bCs/>
          <w:color w:val="1A1A3A"/>
        </w:rPr>
        <w:t xml:space="preserve">Email and Communications</w:t>
      </w:r>
    </w:p>
    <w:p>
      <w:pPr>
        <w:spacing w:after="160"/>
        <w:ind w:left="360"/>
      </w:pPr>
      <w:r>
        <w:rPr>
          <w:color w:val="2A2A45"/>
        </w:rPr>
        <w:t xml:space="preserve">Default retention of three (3) years for business email, unless subject to a litigation hold or specific preservation obligation.</w:t>
      </w:r>
    </w:p>
    <w:p>
      <w:pPr>
        <w:keepNext/>
        <w:spacing w:after="100" w:before="200"/>
        <w:ind w:left="360"/>
      </w:pPr>
      <w:r>
        <w:rPr>
          <w:b/>
          <w:bCs/>
          <w:color w:val="1A1A3A"/>
        </w:rPr>
        <w:t xml:space="preserve">h)  </w:t>
      </w:r>
      <w:r>
        <w:rPr>
          <w:b/>
          <w:bCs/>
          <w:color w:val="1A1A3A"/>
        </w:rPr>
        <w:t xml:space="preserve">Marketing and Analytics Data</w:t>
      </w:r>
    </w:p>
    <w:p>
      <w:pPr>
        <w:spacing w:after="160"/>
        <w:ind w:left="360"/>
      </w:pPr>
      <w:r>
        <w:rPr>
          <w:color w:val="2A2A45"/>
        </w:rPr>
        <w:t xml:space="preserve">Non-identifiable analytics data may be retained indefinitely. Identifiable marketing data (email lists, CRM records) is retained while the relationship is active plus two years, or until opt-out request, whichever is sooner.</w:t>
      </w:r>
    </w:p>
    <w:p>
      <w:pPr>
        <w:keepNext/>
        <w:spacing w:after="100" w:before="200"/>
        <w:ind w:left="360"/>
      </w:pPr>
      <w:r>
        <w:rPr>
          <w:b/>
          <w:bCs/>
          <w:color w:val="1A1A3A"/>
        </w:rPr>
        <w:t xml:space="preserve">i)  </w:t>
      </w:r>
      <w:r>
        <w:rPr>
          <w:b/>
          <w:bCs/>
          <w:color w:val="1A1A3A"/>
        </w:rPr>
        <w:t xml:space="preserve">Backups</w:t>
      </w:r>
    </w:p>
    <w:p>
      <w:pPr>
        <w:spacing w:after="160"/>
        <w:ind w:left="360"/>
      </w:pPr>
      <w:r>
        <w:rPr>
          <w:color w:val="2A2A45"/>
        </w:rPr>
        <w:t xml:space="preserve">Operational backups retained for 30 days. Longer-term snapshots, where retained, follow the retention of the underlying data.</w:t>
      </w:r>
    </w:p>
    <w:p>
      <w:pPr>
        <w:keepNext/>
        <w:spacing w:after="160" w:before="320"/>
      </w:pPr>
      <w:r>
        <w:rPr>
          <w:b/>
          <w:bCs/>
          <w:color w:val="D63384"/>
          <w:sz w:val="24"/>
          <w:szCs w:val="24"/>
        </w:rPr>
        <w:t xml:space="preserve">4.  </w:t>
      </w:r>
      <w:r>
        <w:rPr>
          <w:b/>
          <w:bCs/>
          <w:color w:val="1A1A3A"/>
          <w:sz w:val="24"/>
          <w:szCs w:val="24"/>
        </w:rPr>
        <w:t xml:space="preserve">De-Identified Data</w:t>
      </w:r>
    </w:p>
    <w:p>
      <w:pPr>
        <w:spacing w:after="160"/>
      </w:pPr>
      <w:r>
        <w:rPr>
          <w:color w:val="2A2A45"/>
        </w:rPr>
        <w:t xml:space="preserve">PHI that has been de-identified in accordance with 45 CFR § 164.514 is no longer PHI and is not subject to retention limits under this policy. De-identified data may be retained indefinitely for research, product improvement, and aggregate analytics.</w:t>
      </w:r>
    </w:p>
    <w:p>
      <w:pPr>
        <w:keepNext/>
        <w:spacing w:after="160" w:before="320"/>
      </w:pPr>
      <w:r>
        <w:rPr>
          <w:b/>
          <w:bCs/>
          <w:color w:val="D63384"/>
          <w:sz w:val="24"/>
          <w:szCs w:val="24"/>
        </w:rPr>
        <w:t xml:space="preserve">5.  </w:t>
      </w:r>
      <w:r>
        <w:rPr>
          <w:b/>
          <w:bCs/>
          <w:color w:val="1A1A3A"/>
          <w:sz w:val="24"/>
          <w:szCs w:val="24"/>
        </w:rPr>
        <w:t xml:space="preserve">Legal Holds</w:t>
      </w:r>
    </w:p>
    <w:p>
      <w:pPr>
        <w:spacing w:after="160"/>
      </w:pPr>
      <w:r>
        <w:rPr>
          <w:color w:val="2A2A45"/>
        </w:rPr>
        <w:t xml:space="preserve">When litigation, regulatory investigation, or audit is reasonably anticipated, routine destruction is suspended for affected records. Legal holds are issued and managed by the Privacy Officer in consultation with counsel. Workforce members must comply with all legal holds and may not destroy records under hold.</w:t>
      </w:r>
    </w:p>
    <w:p>
      <w:pPr>
        <w:keepNext/>
        <w:spacing w:after="160" w:before="320"/>
      </w:pPr>
      <w:r>
        <w:rPr>
          <w:b/>
          <w:bCs/>
          <w:color w:val="D63384"/>
          <w:sz w:val="24"/>
          <w:szCs w:val="24"/>
        </w:rPr>
        <w:t xml:space="preserve">6.  </w:t>
      </w:r>
      <w:r>
        <w:rPr>
          <w:b/>
          <w:bCs/>
          <w:color w:val="1A1A3A"/>
          <w:sz w:val="24"/>
          <w:szCs w:val="24"/>
        </w:rPr>
        <w:t xml:space="preserve">Secure Destruction</w:t>
      </w:r>
    </w:p>
    <w:p>
      <w:pPr>
        <w:keepNext/>
        <w:spacing w:after="100" w:before="200"/>
        <w:ind w:left="360"/>
      </w:pPr>
      <w:r>
        <w:rPr>
          <w:b/>
          <w:bCs/>
          <w:color w:val="1A1A3A"/>
        </w:rPr>
        <w:t xml:space="preserve">a)  </w:t>
      </w:r>
      <w:r>
        <w:rPr>
          <w:b/>
          <w:bCs/>
          <w:color w:val="1A1A3A"/>
        </w:rPr>
        <w:t xml:space="preserve">Electronic Data</w:t>
      </w:r>
    </w:p>
    <w:p>
      <w:pPr>
        <w:spacing w:after="160"/>
        <w:ind w:left="360"/>
      </w:pPr>
      <w:r>
        <w:rPr>
          <w:color w:val="2A2A45"/>
        </w:rPr>
        <w:t xml:space="preserve">Data on cloud services is destroyed using the provider’s documented deletion procedures (which, for HIPAA-compliant vendors, render data unrecoverable). Hard drives and other electronic media are destroyed via cryptographic erasure, secure wiping (NIST SP 800-88 compliant), or physical destruction.</w:t>
      </w:r>
    </w:p>
    <w:p>
      <w:pPr>
        <w:keepNext/>
        <w:spacing w:after="100" w:before="200"/>
        <w:ind w:left="360"/>
      </w:pPr>
      <w:r>
        <w:rPr>
          <w:b/>
          <w:bCs/>
          <w:color w:val="1A1A3A"/>
        </w:rPr>
        <w:t xml:space="preserve">b)  </w:t>
      </w:r>
      <w:r>
        <w:rPr>
          <w:b/>
          <w:bCs/>
          <w:color w:val="1A1A3A"/>
        </w:rPr>
        <w:t xml:space="preserve">Paper Records</w:t>
      </w:r>
    </w:p>
    <w:p>
      <w:pPr>
        <w:spacing w:after="160"/>
        <w:ind w:left="360"/>
      </w:pPr>
      <w:r>
        <w:rPr>
          <w:color w:val="2A2A45"/>
        </w:rPr>
        <w:t xml:space="preserve">Paper records containing PHI or other sensitive information are shredded using a cross-cut shredder meeting DIN 66399 P-4 or higher.</w:t>
      </w:r>
    </w:p>
    <w:p>
      <w:pPr>
        <w:keepNext/>
        <w:spacing w:after="100" w:before="200"/>
        <w:ind w:left="360"/>
      </w:pPr>
      <w:r>
        <w:rPr>
          <w:b/>
          <w:bCs/>
          <w:color w:val="1A1A3A"/>
        </w:rPr>
        <w:t xml:space="preserve">c)  </w:t>
      </w:r>
      <w:r>
        <w:rPr>
          <w:b/>
          <w:bCs/>
          <w:color w:val="1A1A3A"/>
        </w:rPr>
        <w:t xml:space="preserve">Documentation of Destruction</w:t>
      </w:r>
    </w:p>
    <w:p>
      <w:pPr>
        <w:spacing w:after="160"/>
        <w:ind w:left="360"/>
      </w:pPr>
      <w:r>
        <w:rPr>
          <w:color w:val="2A2A45"/>
        </w:rPr>
        <w:t xml:space="preserve">Destruction events for PHI and other sensitive records are documented with: date, method, data scope, and party performing destruction. Records are retained for six (6) years.</w:t>
      </w:r>
    </w:p>
    <w:p>
      <w:pPr>
        <w:keepNext/>
        <w:spacing w:after="160" w:before="320"/>
      </w:pPr>
      <w:r>
        <w:rPr>
          <w:b/>
          <w:bCs/>
          <w:color w:val="D63384"/>
          <w:sz w:val="24"/>
          <w:szCs w:val="24"/>
        </w:rPr>
        <w:t xml:space="preserve">7.  </w:t>
      </w:r>
      <w:r>
        <w:rPr>
          <w:b/>
          <w:bCs/>
          <w:color w:val="1A1A3A"/>
          <w:sz w:val="24"/>
          <w:szCs w:val="24"/>
        </w:rPr>
        <w:t xml:space="preserve">Individual Deletion Requests</w:t>
      </w:r>
    </w:p>
    <w:p>
      <w:pPr>
        <w:spacing w:after="160"/>
      </w:pPr>
      <w:r>
        <w:rPr>
          <w:color w:val="2A2A45"/>
        </w:rPr>
        <w:t xml:space="preserve">Individuals may request deletion of their personal data. Requests involving PHI are forwarded to the applicable Covered Entity for direction. Requests from direct patients are honored within 30 days unless retention is required by law (e.g., for fraud prevention, legal compliance).</w:t>
      </w:r>
    </w:p>
    <w:p>
      <w:pPr>
        <w:keepNext/>
        <w:spacing w:after="160" w:before="320"/>
      </w:pPr>
      <w:r>
        <w:rPr>
          <w:b/>
          <w:bCs/>
          <w:color w:val="D63384"/>
          <w:sz w:val="24"/>
          <w:szCs w:val="24"/>
        </w:rPr>
        <w:t xml:space="preserve">8.  </w:t>
      </w:r>
      <w:r>
        <w:rPr>
          <w:b/>
          <w:bCs/>
          <w:color w:val="1A1A3A"/>
          <w:sz w:val="24"/>
          <w:szCs w:val="24"/>
        </w:rPr>
        <w:t xml:space="preserve">Vendor Data</w:t>
      </w:r>
    </w:p>
    <w:p>
      <w:pPr>
        <w:spacing w:after="160"/>
      </w:pPr>
      <w:r>
        <w:rPr>
          <w:color w:val="2A2A45"/>
        </w:rPr>
        <w:t xml:space="preserve">When engaging a vendor that will hold Rinnova data, retention and destruction obligations are specified contractually. At termination of the vendor relationship, the vendor is required to return or destroy Rinnova data within 60 days and provide written certification of destruction.</w:t>
      </w:r>
    </w:p>
    <w:p>
      <w:pPr>
        <w:keepNext/>
        <w:spacing w:after="160" w:before="320"/>
      </w:pPr>
      <w:r>
        <w:rPr>
          <w:b/>
          <w:bCs/>
          <w:color w:val="D63384"/>
          <w:sz w:val="24"/>
          <w:szCs w:val="24"/>
        </w:rPr>
        <w:t xml:space="preserve">9.  </w:t>
      </w:r>
      <w:r>
        <w:rPr>
          <w:b/>
          <w:bCs/>
          <w:color w:val="1A1A3A"/>
          <w:sz w:val="24"/>
          <w:szCs w:val="24"/>
        </w:rPr>
        <w:t xml:space="preserve">Policy Enforcement</w:t>
      </w:r>
    </w:p>
    <w:p>
      <w:pPr>
        <w:spacing w:after="160"/>
      </w:pPr>
      <w:r>
        <w:rPr>
          <w:color w:val="2A2A45"/>
        </w:rPr>
        <w:t xml:space="preserve">The Privacy Officer is responsible for operationalizing this schedule, including configuring automated retention where possible (e.g., database retention rules, log rotation, backup expiry). Adherence is reviewed in the annual policy audit.</w:t>
      </w:r>
    </w:p>
    <w:p>
      <w:pPr>
        <w:pBdr>
          <w:bottom w:val="single" w:color="CCCCCC" w:sz="6" w:space="6"/>
        </w:pBdr>
        <w:spacing w:after="120" w:before="400"/>
      </w:pPr>
      <w:r>
        <w:t xml:space="preserve"/>
      </w:r>
    </w:p>
    <w:p>
      <w:pPr>
        <w:spacing w:after="120" w:before="120"/>
      </w:pPr>
      <w:r>
        <w:rPr>
          <w:b/>
          <w:bCs/>
          <w:color w:val="1A1A3A"/>
          <w:sz w:val="22"/>
          <w:szCs w:val="22"/>
        </w:rPr>
        <w:t xml:space="preserve">Revision History</w:t>
      </w:r>
    </w:p>
    <w:p>
      <w:pPr>
        <w:spacing w:after="40"/>
      </w:pPr>
      <w:r>
        <w:rPr>
          <w:b/>
          <w:bCs/>
          <w:color w:val="1A1A3A"/>
        </w:rPr>
        <w:t xml:space="preserve">v1.0</w:t>
      </w:r>
      <w:r>
        <w:rPr>
          <w:color w:val="2A2A45"/>
        </w:rPr>
        <w:t xml:space="preserve">    [Effective Date]    Initial version.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Rinnova Data Retention and Disposal Policy</dc:title>
  <dc:creator>Tondo</dc:creator>
  <cp:lastModifiedBy>Un-named</cp:lastModifiedBy>
  <cp:revision>1</cp:revision>
  <dcterms:created xsi:type="dcterms:W3CDTF">2026-04-21T14:39:39.432Z</dcterms:created>
  <dcterms:modified xsi:type="dcterms:W3CDTF">2026-04-21T14:39:39.433Z</dcterms:modified>
</cp:coreProperties>
</file>

<file path=docProps/custom.xml><?xml version="1.0" encoding="utf-8"?>
<Properties xmlns="http://schemas.openxmlformats.org/officeDocument/2006/custom-properties" xmlns:vt="http://schemas.openxmlformats.org/officeDocument/2006/docPropsVTypes"/>
</file>