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1A0F3D"/>
          <w:spacing w:val="80"/>
          <w:sz w:val="20"/>
          <w:szCs w:val="20"/>
        </w:rPr>
        <w:t xml:space="preserve">TONDO</w:t>
      </w:r>
    </w:p>
    <w:p>
      <w:pPr>
        <w:pBdr>
          <w:bottom w:val="single" w:color="D63384" w:sz="8" w:space="8"/>
        </w:pBdr>
        <w:spacing w:after="480"/>
      </w:pPr>
      <w:r>
        <w:rPr>
          <w:color w:val="707090"/>
          <w:spacing w:val="60"/>
          <w:sz w:val="16"/>
          <w:szCs w:val="16"/>
        </w:rPr>
        <w:t xml:space="preserve">RINNOVA · INCIDENT RESPONSE</w:t>
      </w:r>
    </w:p>
    <w:p>
      <w:pPr>
        <w:spacing w:after="120"/>
        <w:jc w:val="center"/>
      </w:pPr>
      <w:r>
        <w:rPr>
          <w:rFonts w:ascii="Georgia" w:cs="Georgia" w:eastAsia="Georgia" w:hAnsi="Georgia"/>
          <w:color w:val="1A1A3A"/>
          <w:sz w:val="40"/>
          <w:szCs w:val="40"/>
        </w:rPr>
        <w:t xml:space="preserve">Breach &amp; Incident Response Plan</w:t>
      </w:r>
    </w:p>
    <w:p>
      <w:pPr>
        <w:spacing w:after="400"/>
        <w:jc w:val="center"/>
      </w:pPr>
      <w:r>
        <w:rPr>
          <w:i/>
          <w:iCs/>
          <w:color w:val="707090"/>
          <w:sz w:val="20"/>
          <w:szCs w:val="20"/>
        </w:rPr>
        <w:t xml:space="preserve">How Rinnova detects, investigates, and responds to security incidents</w:t>
      </w:r>
    </w:p>
    <w:p>
      <w:pPr>
        <w:spacing w:after="40"/>
      </w:pPr>
      <w:r>
        <w:rPr>
          <w:b/>
          <w:bCs/>
          <w:color w:val="1A1A3A"/>
          <w:sz w:val="18"/>
          <w:szCs w:val="18"/>
        </w:rPr>
        <w:t xml:space="preserve">Document:  </w:t>
      </w:r>
      <w:r>
        <w:rPr>
          <w:color w:val="2A2A45"/>
          <w:sz w:val="18"/>
          <w:szCs w:val="18"/>
        </w:rPr>
        <w:t xml:space="preserve">Rinnova Breach &amp; Incident Response Plan</w:t>
      </w:r>
    </w:p>
    <w:p>
      <w:pPr>
        <w:spacing w:after="40"/>
      </w:pPr>
      <w:r>
        <w:rPr>
          <w:b/>
          <w:bCs/>
          <w:color w:val="1A1A3A"/>
          <w:sz w:val="18"/>
          <w:szCs w:val="18"/>
        </w:rPr>
        <w:t xml:space="preserve">Version:  </w:t>
      </w:r>
      <w:r>
        <w:rPr>
          <w:color w:val="2A2A45"/>
          <w:sz w:val="18"/>
          <w:szCs w:val="18"/>
        </w:rPr>
        <w:t xml:space="preserve">1.0</w:t>
      </w:r>
    </w:p>
    <w:p>
      <w:pPr>
        <w:spacing w:after="40"/>
      </w:pPr>
      <w:r>
        <w:rPr>
          <w:b/>
          <w:bCs/>
          <w:color w:val="1A1A3A"/>
          <w:sz w:val="18"/>
          <w:szCs w:val="18"/>
        </w:rPr>
        <w:t xml:space="preserve">Effective Date:  </w:t>
      </w:r>
      <w:r>
        <w:rPr>
          <w:color w:val="2A2A45"/>
          <w:sz w:val="18"/>
          <w:szCs w:val="18"/>
        </w:rPr>
        <w:t xml:space="preserve">[Effective Date]</w:t>
      </w:r>
    </w:p>
    <w:p>
      <w:pPr>
        <w:spacing w:after="40"/>
      </w:pPr>
      <w:r>
        <w:rPr>
          <w:b/>
          <w:bCs/>
          <w:color w:val="1A1A3A"/>
          <w:sz w:val="18"/>
          <w:szCs w:val="18"/>
        </w:rPr>
        <w:t xml:space="preserve">Review Cycle:  </w:t>
      </w:r>
      <w:r>
        <w:rPr>
          <w:color w:val="2A2A45"/>
          <w:sz w:val="18"/>
          <w:szCs w:val="18"/>
        </w:rPr>
        <w:t xml:space="preserve">Annual (tested semi-annually)</w:t>
      </w:r>
    </w:p>
    <w:p>
      <w:pPr>
        <w:spacing w:after="40"/>
      </w:pPr>
      <w:r>
        <w:rPr>
          <w:b/>
          <w:bCs/>
          <w:color w:val="1A1A3A"/>
          <w:sz w:val="18"/>
          <w:szCs w:val="18"/>
        </w:rPr>
        <w:t xml:space="preserve">Owner:  </w:t>
      </w:r>
      <w:r>
        <w:rPr>
          <w:color w:val="2A2A45"/>
          <w:sz w:val="18"/>
          <w:szCs w:val="18"/>
        </w:rPr>
        <w:t xml:space="preserve">Security Officer / Founder</w:t>
      </w:r>
    </w:p>
    <w:p>
      <w:pPr>
        <w:spacing w:after="40"/>
      </w:pPr>
      <w:r>
        <w:rPr>
          <w:b/>
          <w:bCs/>
          <w:color w:val="1A1A3A"/>
          <w:sz w:val="18"/>
          <w:szCs w:val="18"/>
        </w:rPr>
        <w:t xml:space="preserve">Approved By:  </w:t>
      </w:r>
      <w:r>
        <w:rPr>
          <w:color w:val="2A2A45"/>
          <w:sz w:val="18"/>
          <w:szCs w:val="18"/>
        </w:rPr>
        <w:t xml:space="preserve">[Founder Name]</w:t>
      </w:r>
    </w:p>
    <w:p>
      <w:pPr>
        <w:pBdr>
          <w:bottom w:val="single" w:color="CCCCCC" w:sz="6" w:space="6"/>
        </w:pBdr>
        <w:spacing w:after="240" w:before="120"/>
      </w:pPr>
      <w:r>
        <w:t xml:space="preserve"/>
      </w:r>
    </w:p>
    <w:p>
      <w:pPr>
        <w:keepNext/>
        <w:spacing w:after="160" w:before="320"/>
      </w:pPr>
      <w:r>
        <w:rPr>
          <w:b/>
          <w:bCs/>
          <w:color w:val="D63384"/>
          <w:sz w:val="24"/>
          <w:szCs w:val="24"/>
        </w:rPr>
        <w:t xml:space="preserve">1.  </w:t>
      </w:r>
      <w:r>
        <w:rPr>
          <w:b/>
          <w:bCs/>
          <w:color w:val="1A1A3A"/>
          <w:sz w:val="24"/>
          <w:szCs w:val="24"/>
        </w:rPr>
        <w:t xml:space="preserve">Purpose and Scope</w:t>
      </w:r>
    </w:p>
    <w:p>
      <w:pPr>
        <w:spacing w:after="160"/>
      </w:pPr>
      <w:r>
        <w:rPr>
          <w:color w:val="2A2A45"/>
        </w:rPr>
        <w:t xml:space="preserve">This Plan establishes Rinnova’s process for detecting, responding to, investigating, and notifying affected parties of security incidents and breaches involving Protected Health Information (“PHI”) or other sensitive data. It satisfies the HIPAA Security Rule (45 CFR § 164.308(a)(6)) and the Breach Notification Rule (45 CFR §§ 164.400–414).</w:t>
      </w:r>
    </w:p>
    <w:p>
      <w:pPr>
        <w:keepNext/>
        <w:spacing w:after="160" w:before="320"/>
      </w:pPr>
      <w:r>
        <w:rPr>
          <w:b/>
          <w:bCs/>
          <w:color w:val="D63384"/>
          <w:sz w:val="24"/>
          <w:szCs w:val="24"/>
        </w:rPr>
        <w:t xml:space="preserve">2.  </w:t>
      </w:r>
      <w:r>
        <w:rPr>
          <w:b/>
          <w:bCs/>
          <w:color w:val="1A1A3A"/>
          <w:sz w:val="24"/>
          <w:szCs w:val="24"/>
        </w:rPr>
        <w:t xml:space="preserve">Definitions</w:t>
      </w:r>
    </w:p>
    <w:p>
      <w:pPr>
        <w:pStyle w:val="ListParagraph"/>
        <w:numPr>
          <w:ilvl w:val="0"/>
          <w:numId w:val="2"/>
        </w:numPr>
        <w:spacing w:after="120"/>
      </w:pPr>
      <w:r>
        <w:rPr>
          <w:b/>
          <w:bCs/>
          <w:color w:val="1A1A3A"/>
        </w:rPr>
        <w:t xml:space="preserve">Security Incident: </w:t>
      </w:r>
      <w:r>
        <w:rPr>
          <w:color w:val="2A2A45"/>
        </w:rPr>
        <w:t xml:space="preserve">The attempted or successful unauthorized access, use, disclosure, modification, or destruction of information, or interference with system operations.</w:t>
      </w:r>
    </w:p>
    <w:p>
      <w:pPr>
        <w:pStyle w:val="ListParagraph"/>
        <w:numPr>
          <w:ilvl w:val="0"/>
          <w:numId w:val="2"/>
        </w:numPr>
        <w:spacing w:after="120"/>
      </w:pPr>
      <w:r>
        <w:rPr>
          <w:b/>
          <w:bCs/>
          <w:color w:val="1A1A3A"/>
        </w:rPr>
        <w:t xml:space="preserve">Breach: </w:t>
      </w:r>
      <w:r>
        <w:rPr>
          <w:color w:val="2A2A45"/>
        </w:rPr>
        <w:t xml:space="preserve">The acquisition, access, use, or disclosure of PHI in a manner not permitted by HIPAA that compromises the security or privacy of the PHI (45 CFR § 164.402).</w:t>
      </w:r>
    </w:p>
    <w:p>
      <w:pPr>
        <w:pStyle w:val="ListParagraph"/>
        <w:numPr>
          <w:ilvl w:val="0"/>
          <w:numId w:val="2"/>
        </w:numPr>
        <w:spacing w:after="120"/>
      </w:pPr>
      <w:r>
        <w:rPr>
          <w:b/>
          <w:bCs/>
          <w:color w:val="1A1A3A"/>
        </w:rPr>
        <w:t xml:space="preserve">Unsecured PHI: </w:t>
      </w:r>
      <w:r>
        <w:rPr>
          <w:color w:val="2A2A45"/>
        </w:rPr>
        <w:t xml:space="preserve">PHI not rendered unusable, unreadable, or indecipherable through encryption or destruction meeting HHS standards.</w:t>
      </w:r>
    </w:p>
    <w:p>
      <w:pPr>
        <w:keepNext/>
        <w:spacing w:after="160" w:before="320"/>
      </w:pPr>
      <w:r>
        <w:rPr>
          <w:b/>
          <w:bCs/>
          <w:color w:val="D63384"/>
          <w:sz w:val="24"/>
          <w:szCs w:val="24"/>
        </w:rPr>
        <w:t xml:space="preserve">3.  </w:t>
      </w:r>
      <w:r>
        <w:rPr>
          <w:b/>
          <w:bCs/>
          <w:color w:val="1A1A3A"/>
          <w:sz w:val="24"/>
          <w:szCs w:val="24"/>
        </w:rPr>
        <w:t xml:space="preserve">Roles and Responsibilities</w:t>
      </w:r>
    </w:p>
    <w:p>
      <w:pPr>
        <w:pStyle w:val="ListParagraph"/>
        <w:numPr>
          <w:ilvl w:val="0"/>
          <w:numId w:val="2"/>
        </w:numPr>
        <w:spacing w:after="120"/>
      </w:pPr>
      <w:r>
        <w:rPr>
          <w:b/>
          <w:bCs/>
          <w:color w:val="1A1A3A"/>
        </w:rPr>
        <w:t xml:space="preserve">Security Officer: </w:t>
      </w:r>
      <w:r>
        <w:rPr>
          <w:color w:val="2A2A45"/>
        </w:rPr>
        <w:t xml:space="preserve">Leads incident response, coordinates communications, authorizes external notifications. Escalates material incidents to leadership and legal counsel.</w:t>
      </w:r>
    </w:p>
    <w:p>
      <w:pPr>
        <w:pStyle w:val="ListParagraph"/>
        <w:numPr>
          <w:ilvl w:val="0"/>
          <w:numId w:val="2"/>
        </w:numPr>
        <w:spacing w:after="120"/>
      </w:pPr>
      <w:r>
        <w:rPr>
          <w:b/>
          <w:bCs/>
          <w:color w:val="1A1A3A"/>
        </w:rPr>
        <w:t xml:space="preserve">Privacy Officer: </w:t>
      </w:r>
      <w:r>
        <w:rPr>
          <w:color w:val="2A2A45"/>
        </w:rPr>
        <w:t xml:space="preserve">Evaluates whether an incident constitutes a reportable Breach under HIPAA and leads notifications to Covered Entities and affected individuals.</w:t>
      </w:r>
    </w:p>
    <w:p>
      <w:pPr>
        <w:pStyle w:val="ListParagraph"/>
        <w:numPr>
          <w:ilvl w:val="0"/>
          <w:numId w:val="2"/>
        </w:numPr>
        <w:spacing w:after="120"/>
      </w:pPr>
      <w:r>
        <w:rPr>
          <w:b/>
          <w:bCs/>
          <w:color w:val="1A1A3A"/>
        </w:rPr>
        <w:t xml:space="preserve">Engineering Lead: </w:t>
      </w:r>
      <w:r>
        <w:rPr>
          <w:color w:val="2A2A45"/>
        </w:rPr>
        <w:t xml:space="preserve">Performs technical containment and remediation. Preserves evidence and logs.</w:t>
      </w:r>
    </w:p>
    <w:p>
      <w:pPr>
        <w:pStyle w:val="ListParagraph"/>
        <w:numPr>
          <w:ilvl w:val="0"/>
          <w:numId w:val="2"/>
        </w:numPr>
        <w:spacing w:after="120"/>
      </w:pPr>
      <w:r>
        <w:rPr>
          <w:b/>
          <w:bCs/>
          <w:color w:val="1A1A3A"/>
        </w:rPr>
        <w:t xml:space="preserve">All Workforce Members: </w:t>
      </w:r>
      <w:r>
        <w:rPr>
          <w:color w:val="2A2A45"/>
        </w:rPr>
        <w:t xml:space="preserve">Obligated to report suspected incidents immediately upon discovery.</w:t>
      </w:r>
    </w:p>
    <w:p>
      <w:pPr>
        <w:spacing w:after="160"/>
      </w:pPr>
      <w:r>
        <w:rPr>
          <w:color w:val="2A2A45"/>
        </w:rPr>
        <w:t xml:space="preserve">These roles may initially be held by the same person (the Founder). As the company grows, they will be separated.</w:t>
      </w:r>
    </w:p>
    <w:p>
      <w:pPr>
        <w:keepNext/>
        <w:spacing w:after="160" w:before="320"/>
      </w:pPr>
      <w:r>
        <w:rPr>
          <w:b/>
          <w:bCs/>
          <w:color w:val="D63384"/>
          <w:sz w:val="24"/>
          <w:szCs w:val="24"/>
        </w:rPr>
        <w:t xml:space="preserve">4.  </w:t>
      </w:r>
      <w:r>
        <w:rPr>
          <w:b/>
          <w:bCs/>
          <w:color w:val="1A1A3A"/>
          <w:sz w:val="24"/>
          <w:szCs w:val="24"/>
        </w:rPr>
        <w:t xml:space="preserve">Incident Severity Levels</w:t>
      </w:r>
    </w:p>
    <w:p>
      <w:pPr>
        <w:keepNext/>
        <w:spacing w:after="100" w:before="200"/>
        <w:ind w:left="360"/>
      </w:pPr>
      <w:r>
        <w:rPr>
          <w:b/>
          <w:bCs/>
          <w:color w:val="1A1A3A"/>
        </w:rPr>
        <w:t xml:space="preserve">a)  </w:t>
      </w:r>
      <w:r>
        <w:rPr>
          <w:b/>
          <w:bCs/>
          <w:color w:val="1A1A3A"/>
        </w:rPr>
        <w:t xml:space="preserve">Severity 1 — Critical</w:t>
      </w:r>
    </w:p>
    <w:p>
      <w:pPr>
        <w:spacing w:after="160"/>
        <w:ind w:left="360"/>
      </w:pPr>
      <w:r>
        <w:rPr>
          <w:color w:val="2A2A45"/>
        </w:rPr>
        <w:t xml:space="preserve">Confirmed unauthorized access to PHI, active data exfiltration, ransomware affecting production, or full system compromise. Response begins immediately, 24/7.</w:t>
      </w:r>
    </w:p>
    <w:p>
      <w:pPr>
        <w:keepNext/>
        <w:spacing w:after="100" w:before="200"/>
        <w:ind w:left="360"/>
      </w:pPr>
      <w:r>
        <w:rPr>
          <w:b/>
          <w:bCs/>
          <w:color w:val="1A1A3A"/>
        </w:rPr>
        <w:t xml:space="preserve">b)  </w:t>
      </w:r>
      <w:r>
        <w:rPr>
          <w:b/>
          <w:bCs/>
          <w:color w:val="1A1A3A"/>
        </w:rPr>
        <w:t xml:space="preserve">Severity 2 — High</w:t>
      </w:r>
    </w:p>
    <w:p>
      <w:pPr>
        <w:spacing w:after="160"/>
        <w:ind w:left="360"/>
      </w:pPr>
      <w:r>
        <w:rPr>
          <w:color w:val="2A2A45"/>
        </w:rPr>
        <w:t xml:space="preserve">Suspected unauthorized access, significant service outage affecting PHI availability, successful phishing against a workforce member with privileged access. Response begins within one (1) hour during business hours, four (4) hours outside business hours.</w:t>
      </w:r>
    </w:p>
    <w:p>
      <w:pPr>
        <w:keepNext/>
        <w:spacing w:after="100" w:before="200"/>
        <w:ind w:left="360"/>
      </w:pPr>
      <w:r>
        <w:rPr>
          <w:b/>
          <w:bCs/>
          <w:color w:val="1A1A3A"/>
        </w:rPr>
        <w:t xml:space="preserve">c)  </w:t>
      </w:r>
      <w:r>
        <w:rPr>
          <w:b/>
          <w:bCs/>
          <w:color w:val="1A1A3A"/>
        </w:rPr>
        <w:t xml:space="preserve">Severity 3 — Medium</w:t>
      </w:r>
    </w:p>
    <w:p>
      <w:pPr>
        <w:spacing w:after="160"/>
        <w:ind w:left="360"/>
      </w:pPr>
      <w:r>
        <w:rPr>
          <w:color w:val="2A2A45"/>
        </w:rPr>
        <w:t xml:space="preserve">Failed attack attempts, minor misconfigurations exposing non-PHI data, unauthorized access to non-production systems. Response begins within one (1) business day.</w:t>
      </w:r>
    </w:p>
    <w:p>
      <w:pPr>
        <w:keepNext/>
        <w:spacing w:after="100" w:before="200"/>
        <w:ind w:left="360"/>
      </w:pPr>
      <w:r>
        <w:rPr>
          <w:b/>
          <w:bCs/>
          <w:color w:val="1A1A3A"/>
        </w:rPr>
        <w:t xml:space="preserve">d)  </w:t>
      </w:r>
      <w:r>
        <w:rPr>
          <w:b/>
          <w:bCs/>
          <w:color w:val="1A1A3A"/>
        </w:rPr>
        <w:t xml:space="preserve">Severity 4 — Low</w:t>
      </w:r>
    </w:p>
    <w:p>
      <w:pPr>
        <w:spacing w:after="160"/>
        <w:ind w:left="360"/>
      </w:pPr>
      <w:r>
        <w:rPr>
          <w:color w:val="2A2A45"/>
        </w:rPr>
        <w:t xml:space="preserve">Routine anomalies under investigation, policy violations without data exposure. Logged and investigated during normal operations.</w:t>
      </w:r>
    </w:p>
    <w:p>
      <w:pPr>
        <w:keepNext/>
        <w:spacing w:after="160" w:before="320"/>
      </w:pPr>
      <w:r>
        <w:rPr>
          <w:b/>
          <w:bCs/>
          <w:color w:val="D63384"/>
          <w:sz w:val="24"/>
          <w:szCs w:val="24"/>
        </w:rPr>
        <w:t xml:space="preserve">5.  </w:t>
      </w:r>
      <w:r>
        <w:rPr>
          <w:b/>
          <w:bCs/>
          <w:color w:val="1A1A3A"/>
          <w:sz w:val="24"/>
          <w:szCs w:val="24"/>
        </w:rPr>
        <w:t xml:space="preserve">Incident Response Process</w:t>
      </w:r>
    </w:p>
    <w:p>
      <w:pPr>
        <w:keepNext/>
        <w:spacing w:after="100" w:before="200"/>
        <w:ind w:left="360"/>
      </w:pPr>
      <w:r>
        <w:rPr>
          <w:b/>
          <w:bCs/>
          <w:color w:val="1A1A3A"/>
        </w:rPr>
        <w:t xml:space="preserve">a)  </w:t>
      </w:r>
      <w:r>
        <w:rPr>
          <w:b/>
          <w:bCs/>
          <w:color w:val="1A1A3A"/>
        </w:rPr>
        <w:t xml:space="preserve">Step 1 — Detect and Report</w:t>
      </w:r>
    </w:p>
    <w:p>
      <w:pPr>
        <w:spacing w:after="160"/>
        <w:ind w:left="360"/>
      </w:pPr>
      <w:r>
        <w:rPr>
          <w:color w:val="2A2A45"/>
        </w:rPr>
        <w:t xml:space="preserve">Incidents are detected through automated alerts, workforce reports, vendor notifications, or external parties. Any workforce member who suspects an incident must notify info@tondo-digital.com and the Security Officer immediately. A formal ticket is opened with a unique incident ID.</w:t>
      </w:r>
    </w:p>
    <w:p>
      <w:pPr>
        <w:keepNext/>
        <w:spacing w:after="100" w:before="200"/>
        <w:ind w:left="360"/>
      </w:pPr>
      <w:r>
        <w:rPr>
          <w:b/>
          <w:bCs/>
          <w:color w:val="1A1A3A"/>
        </w:rPr>
        <w:t xml:space="preserve">b)  </w:t>
      </w:r>
      <w:r>
        <w:rPr>
          <w:b/>
          <w:bCs/>
          <w:color w:val="1A1A3A"/>
        </w:rPr>
        <w:t xml:space="preserve">Step 2 — Triage and Classify</w:t>
      </w:r>
    </w:p>
    <w:p>
      <w:pPr>
        <w:spacing w:after="160"/>
        <w:ind w:left="360"/>
      </w:pPr>
      <w:r>
        <w:rPr>
          <w:color w:val="2A2A45"/>
        </w:rPr>
        <w:t xml:space="preserve">Within one (1) hour for Severity 1–2 incidents, the Security Officer determines: (i) severity level, (ii) systems and data affected, (iii) initial response team, and (iv) whether to notify external counsel or law enforcement.</w:t>
      </w:r>
    </w:p>
    <w:p>
      <w:pPr>
        <w:keepNext/>
        <w:spacing w:after="100" w:before="200"/>
        <w:ind w:left="360"/>
      </w:pPr>
      <w:r>
        <w:rPr>
          <w:b/>
          <w:bCs/>
          <w:color w:val="1A1A3A"/>
        </w:rPr>
        <w:t xml:space="preserve">c)  </w:t>
      </w:r>
      <w:r>
        <w:rPr>
          <w:b/>
          <w:bCs/>
          <w:color w:val="1A1A3A"/>
        </w:rPr>
        <w:t xml:space="preserve">Step 3 — Contain</w:t>
      </w:r>
    </w:p>
    <w:p>
      <w:pPr>
        <w:spacing w:after="160"/>
        <w:ind w:left="360"/>
      </w:pPr>
      <w:r>
        <w:rPr>
          <w:color w:val="2A2A45"/>
        </w:rPr>
        <w:t xml:space="preserve">The Engineering Lead takes immediate containment actions: isolating affected systems, revoking compromised credentials, blocking malicious IPs, and preserving forensic evidence. Containment actions are documented in the incident ticket.</w:t>
      </w:r>
    </w:p>
    <w:p>
      <w:pPr>
        <w:keepNext/>
        <w:spacing w:after="100" w:before="200"/>
        <w:ind w:left="360"/>
      </w:pPr>
      <w:r>
        <w:rPr>
          <w:b/>
          <w:bCs/>
          <w:color w:val="1A1A3A"/>
        </w:rPr>
        <w:t xml:space="preserve">d)  </w:t>
      </w:r>
      <w:r>
        <w:rPr>
          <w:b/>
          <w:bCs/>
          <w:color w:val="1A1A3A"/>
        </w:rPr>
        <w:t xml:space="preserve">Step 4 — Investigate</w:t>
      </w:r>
    </w:p>
    <w:p>
      <w:pPr>
        <w:spacing w:after="160"/>
        <w:ind w:left="360"/>
      </w:pPr>
      <w:r>
        <w:rPr>
          <w:color w:val="2A2A45"/>
        </w:rPr>
        <w:t xml:space="preserve">The response team investigates root cause, scope of impact, and affected data. Investigation includes log review, interviews, and if necessary, engagement of forensic specialists. Findings are documented.</w:t>
      </w:r>
    </w:p>
    <w:p>
      <w:pPr>
        <w:keepNext/>
        <w:spacing w:after="100" w:before="200"/>
        <w:ind w:left="360"/>
      </w:pPr>
      <w:r>
        <w:rPr>
          <w:b/>
          <w:bCs/>
          <w:color w:val="1A1A3A"/>
        </w:rPr>
        <w:t xml:space="preserve">e)  </w:t>
      </w:r>
      <w:r>
        <w:rPr>
          <w:b/>
          <w:bCs/>
          <w:color w:val="1A1A3A"/>
        </w:rPr>
        <w:t xml:space="preserve">Step 5 — Eradicate and Recover</w:t>
      </w:r>
    </w:p>
    <w:p>
      <w:pPr>
        <w:spacing w:after="160"/>
        <w:ind w:left="360"/>
      </w:pPr>
      <w:r>
        <w:rPr>
          <w:color w:val="2A2A45"/>
        </w:rPr>
        <w:t xml:space="preserve">Remove the threat, patch vulnerabilities, restore systems from clean backups, and validate recovery. Monitor for recurrence for at least 30 days post-recovery.</w:t>
      </w:r>
    </w:p>
    <w:p>
      <w:pPr>
        <w:keepNext/>
        <w:spacing w:after="100" w:before="200"/>
        <w:ind w:left="360"/>
      </w:pPr>
      <w:r>
        <w:rPr>
          <w:b/>
          <w:bCs/>
          <w:color w:val="1A1A3A"/>
        </w:rPr>
        <w:t xml:space="preserve">f)  </w:t>
      </w:r>
      <w:r>
        <w:rPr>
          <w:b/>
          <w:bCs/>
          <w:color w:val="1A1A3A"/>
        </w:rPr>
        <w:t xml:space="preserve">Step 6 — Notify</w:t>
      </w:r>
    </w:p>
    <w:p>
      <w:pPr>
        <w:spacing w:after="160"/>
        <w:ind w:left="360"/>
      </w:pPr>
      <w:r>
        <w:rPr>
          <w:color w:val="2A2A45"/>
        </w:rPr>
        <w:t xml:space="preserve">If the incident constitutes a Breach of Unsecured PHI, notification obligations are triggered (see Section 6). Covered Entities are notified within 30 days; affected individuals are notified by the Covered Entity within 60 days. Media and HHS notifications follow regulatory timelines.</w:t>
      </w:r>
    </w:p>
    <w:p>
      <w:pPr>
        <w:keepNext/>
        <w:spacing w:after="100" w:before="200"/>
        <w:ind w:left="360"/>
      </w:pPr>
      <w:r>
        <w:rPr>
          <w:b/>
          <w:bCs/>
          <w:color w:val="1A1A3A"/>
        </w:rPr>
        <w:t xml:space="preserve">g)  </w:t>
      </w:r>
      <w:r>
        <w:rPr>
          <w:b/>
          <w:bCs/>
          <w:color w:val="1A1A3A"/>
        </w:rPr>
        <w:t xml:space="preserve">Step 7 — Post-Incident Review</w:t>
      </w:r>
    </w:p>
    <w:p>
      <w:pPr>
        <w:spacing w:after="160"/>
        <w:ind w:left="360"/>
      </w:pPr>
      <w:r>
        <w:rPr>
          <w:color w:val="2A2A45"/>
        </w:rPr>
        <w:t xml:space="preserve">Within 30 days of resolution, the Security Officer conducts a post-incident review documenting: timeline, root cause, response effectiveness, and corrective actions. Lessons learned are incorporated into policy, training, or technical controls.</w:t>
      </w:r>
    </w:p>
    <w:p>
      <w:pPr>
        <w:keepNext/>
        <w:spacing w:after="160" w:before="320"/>
      </w:pPr>
      <w:r>
        <w:rPr>
          <w:b/>
          <w:bCs/>
          <w:color w:val="D63384"/>
          <w:sz w:val="24"/>
          <w:szCs w:val="24"/>
        </w:rPr>
        <w:t xml:space="preserve">6.  </w:t>
      </w:r>
      <w:r>
        <w:rPr>
          <w:b/>
          <w:bCs/>
          <w:color w:val="1A1A3A"/>
          <w:sz w:val="24"/>
          <w:szCs w:val="24"/>
        </w:rPr>
        <w:t xml:space="preserve">Breach Notification Obligations</w:t>
      </w:r>
    </w:p>
    <w:p>
      <w:pPr>
        <w:keepNext/>
        <w:spacing w:after="100" w:before="200"/>
        <w:ind w:left="360"/>
      </w:pPr>
      <w:r>
        <w:rPr>
          <w:b/>
          <w:bCs/>
          <w:color w:val="1A1A3A"/>
        </w:rPr>
        <w:t xml:space="preserve">a)  </w:t>
      </w:r>
      <w:r>
        <w:rPr>
          <w:b/>
          <w:bCs/>
          <w:color w:val="1A1A3A"/>
        </w:rPr>
        <w:t xml:space="preserve">Risk Assessment</w:t>
      </w:r>
    </w:p>
    <w:p>
      <w:pPr>
        <w:spacing w:after="160"/>
        <w:ind w:left="360"/>
      </w:pPr>
      <w:r>
        <w:rPr>
          <w:color w:val="2A2A45"/>
        </w:rPr>
        <w:t xml:space="preserve">For any potential Breach, a four-factor risk assessment is performed per 45 CFR § 164.402, evaluating: (1) the nature and extent of PHI involved, (2) the unauthorized person who used or received the PHI, (3) whether PHI was actually acquired or viewed, and (4) the extent to which the risk has been mitigated.</w:t>
      </w:r>
    </w:p>
    <w:p>
      <w:pPr>
        <w:keepNext/>
        <w:spacing w:after="100" w:before="200"/>
        <w:ind w:left="360"/>
      </w:pPr>
      <w:r>
        <w:rPr>
          <w:b/>
          <w:bCs/>
          <w:color w:val="1A1A3A"/>
        </w:rPr>
        <w:t xml:space="preserve">b)  </w:t>
      </w:r>
      <w:r>
        <w:rPr>
          <w:b/>
          <w:bCs/>
          <w:color w:val="1A1A3A"/>
        </w:rPr>
        <w:t xml:space="preserve">Covered Entity Notification</w:t>
      </w:r>
    </w:p>
    <w:p>
      <w:pPr>
        <w:spacing w:after="160"/>
        <w:ind w:left="360"/>
      </w:pPr>
      <w:r>
        <w:rPr>
          <w:color w:val="2A2A45"/>
        </w:rPr>
        <w:t xml:space="preserve">Rinnova notifies each affected Covered Entity in writing without unreasonable delay and in no case later than thirty (30) calendar days from the date of Breach discovery. Notification includes: individuals affected, nature of the Breach, types of PHI involved, and steps being taken in response.</w:t>
      </w:r>
    </w:p>
    <w:p>
      <w:pPr>
        <w:keepNext/>
        <w:spacing w:after="100" w:before="200"/>
        <w:ind w:left="360"/>
      </w:pPr>
      <w:r>
        <w:rPr>
          <w:b/>
          <w:bCs/>
          <w:color w:val="1A1A3A"/>
        </w:rPr>
        <w:t xml:space="preserve">c)  </w:t>
      </w:r>
      <w:r>
        <w:rPr>
          <w:b/>
          <w:bCs/>
          <w:color w:val="1A1A3A"/>
        </w:rPr>
        <w:t xml:space="preserve">Cooperation with Covered Entity Notifications</w:t>
      </w:r>
    </w:p>
    <w:p>
      <w:pPr>
        <w:spacing w:after="160"/>
        <w:ind w:left="360"/>
      </w:pPr>
      <w:r>
        <w:rPr>
          <w:color w:val="2A2A45"/>
        </w:rPr>
        <w:t xml:space="preserve">Rinnova provides Covered Entities with the information and support needed to fulfill their obligations to notify affected individuals, HHS, and, if required, media outlets.</w:t>
      </w:r>
    </w:p>
    <w:p>
      <w:pPr>
        <w:keepNext/>
        <w:spacing w:after="100" w:before="200"/>
        <w:ind w:left="360"/>
      </w:pPr>
      <w:r>
        <w:rPr>
          <w:b/>
          <w:bCs/>
          <w:color w:val="1A1A3A"/>
        </w:rPr>
        <w:t xml:space="preserve">d)  </w:t>
      </w:r>
      <w:r>
        <w:rPr>
          <w:b/>
          <w:bCs/>
          <w:color w:val="1A1A3A"/>
        </w:rPr>
        <w:t xml:space="preserve">Law Enforcement Delay</w:t>
      </w:r>
    </w:p>
    <w:p>
      <w:pPr>
        <w:spacing w:after="160"/>
        <w:ind w:left="360"/>
      </w:pPr>
      <w:r>
        <w:rPr>
          <w:color w:val="2A2A45"/>
        </w:rPr>
        <w:t xml:space="preserve">If law enforcement requests in writing that notification be delayed, Rinnova will comply with the requested delay as permitted by 45 CFR § 164.412.</w:t>
      </w:r>
    </w:p>
    <w:p>
      <w:pPr>
        <w:keepNext/>
        <w:spacing w:after="160" w:before="320"/>
      </w:pPr>
      <w:r>
        <w:rPr>
          <w:b/>
          <w:bCs/>
          <w:color w:val="D63384"/>
          <w:sz w:val="24"/>
          <w:szCs w:val="24"/>
        </w:rPr>
        <w:t xml:space="preserve">7.  </w:t>
      </w:r>
      <w:r>
        <w:rPr>
          <w:b/>
          <w:bCs/>
          <w:color w:val="1A1A3A"/>
          <w:sz w:val="24"/>
          <w:szCs w:val="24"/>
        </w:rPr>
        <w:t xml:space="preserve">Internal and External Communication</w:t>
      </w:r>
    </w:p>
    <w:p>
      <w:pPr>
        <w:pStyle w:val="ListParagraph"/>
        <w:numPr>
          <w:ilvl w:val="0"/>
          <w:numId w:val="2"/>
        </w:numPr>
        <w:spacing w:after="120"/>
      </w:pPr>
      <w:r>
        <w:rPr>
          <w:b/>
          <w:bCs/>
          <w:color w:val="1A1A3A"/>
        </w:rPr>
        <w:t xml:space="preserve">Internal: </w:t>
      </w:r>
      <w:r>
        <w:rPr>
          <w:color w:val="2A2A45"/>
        </w:rPr>
        <w:t xml:space="preserve">The Security Officer provides status updates to leadership at least daily for Severity 1–2 incidents.</w:t>
      </w:r>
    </w:p>
    <w:p>
      <w:pPr>
        <w:pStyle w:val="ListParagraph"/>
        <w:numPr>
          <w:ilvl w:val="0"/>
          <w:numId w:val="2"/>
        </w:numPr>
        <w:spacing w:after="120"/>
      </w:pPr>
      <w:r>
        <w:rPr>
          <w:b/>
          <w:bCs/>
          <w:color w:val="1A1A3A"/>
        </w:rPr>
        <w:t xml:space="preserve">External: </w:t>
      </w:r>
      <w:r>
        <w:rPr>
          <w:color w:val="2A2A45"/>
        </w:rPr>
        <w:t xml:space="preserve">All external communications (to Covered Entities, customers, press, regulators) must be approved by the Security Officer and, where applicable, legal counsel.</w:t>
      </w:r>
    </w:p>
    <w:p>
      <w:pPr>
        <w:pStyle w:val="ListParagraph"/>
        <w:numPr>
          <w:ilvl w:val="0"/>
          <w:numId w:val="2"/>
        </w:numPr>
        <w:spacing w:after="120"/>
      </w:pPr>
      <w:r>
        <w:rPr>
          <w:b/>
          <w:bCs/>
          <w:color w:val="1A1A3A"/>
        </w:rPr>
        <w:t xml:space="preserve">Workforce: </w:t>
      </w:r>
      <w:r>
        <w:rPr>
          <w:color w:val="2A2A45"/>
        </w:rPr>
        <w:t xml:space="preserve">Workforce members are instructed not to discuss active incidents outside of authorized channels, including on social media.</w:t>
      </w:r>
    </w:p>
    <w:p>
      <w:pPr>
        <w:keepNext/>
        <w:spacing w:after="160" w:before="320"/>
      </w:pPr>
      <w:r>
        <w:rPr>
          <w:b/>
          <w:bCs/>
          <w:color w:val="D63384"/>
          <w:sz w:val="24"/>
          <w:szCs w:val="24"/>
        </w:rPr>
        <w:t xml:space="preserve">8.  </w:t>
      </w:r>
      <w:r>
        <w:rPr>
          <w:b/>
          <w:bCs/>
          <w:color w:val="1A1A3A"/>
          <w:sz w:val="24"/>
          <w:szCs w:val="24"/>
        </w:rPr>
        <w:t xml:space="preserve">Evidence Preservation and Documentation</w:t>
      </w:r>
    </w:p>
    <w:p>
      <w:pPr>
        <w:spacing w:after="160"/>
      </w:pPr>
      <w:r>
        <w:rPr>
          <w:color w:val="2A2A45"/>
        </w:rPr>
        <w:t xml:space="preserve">The Engineering Lead preserves relevant logs, system images, network captures, and other evidence. Evidence is stored in a secure, access-controlled location with chain-of-custody documentation maintained.</w:t>
      </w:r>
    </w:p>
    <w:p>
      <w:pPr>
        <w:spacing w:after="160"/>
      </w:pPr>
      <w:r>
        <w:rPr>
          <w:color w:val="2A2A45"/>
        </w:rPr>
        <w:t xml:space="preserve">All incident documentation — tickets, decisions, communications, findings — is retained for a minimum of six (6) years.</w:t>
      </w:r>
    </w:p>
    <w:p>
      <w:pPr>
        <w:keepNext/>
        <w:spacing w:after="160" w:before="320"/>
      </w:pPr>
      <w:r>
        <w:rPr>
          <w:b/>
          <w:bCs/>
          <w:color w:val="D63384"/>
          <w:sz w:val="24"/>
          <w:szCs w:val="24"/>
        </w:rPr>
        <w:t xml:space="preserve">9.  </w:t>
      </w:r>
      <w:r>
        <w:rPr>
          <w:b/>
          <w:bCs/>
          <w:color w:val="1A1A3A"/>
          <w:sz w:val="24"/>
          <w:szCs w:val="24"/>
        </w:rPr>
        <w:t xml:space="preserve">Plan Testing</w:t>
      </w:r>
    </w:p>
    <w:p>
      <w:pPr>
        <w:spacing w:after="160"/>
      </w:pPr>
      <w:r>
        <w:rPr>
          <w:color w:val="2A2A45"/>
        </w:rPr>
        <w:t xml:space="preserve">This plan is tested through tabletop exercises at least semi-annually. Tests exercise specific scenarios (e.g., ransomware, lost device, phishing compromise) and document participants, scenario details, findings, and action items.</w:t>
      </w:r>
    </w:p>
    <w:p>
      <w:pPr>
        <w:keepNext/>
        <w:spacing w:after="160" w:before="320"/>
      </w:pPr>
      <w:r>
        <w:rPr>
          <w:b/>
          <w:bCs/>
          <w:color w:val="D63384"/>
          <w:sz w:val="24"/>
          <w:szCs w:val="24"/>
        </w:rPr>
        <w:t xml:space="preserve">10.  </w:t>
      </w:r>
      <w:r>
        <w:rPr>
          <w:b/>
          <w:bCs/>
          <w:color w:val="1A1A3A"/>
          <w:sz w:val="24"/>
          <w:szCs w:val="24"/>
        </w:rPr>
        <w:t xml:space="preserve">Emergency Contact Directory</w:t>
      </w:r>
    </w:p>
    <w:p>
      <w:pPr>
        <w:spacing w:after="160"/>
      </w:pPr>
      <w:r>
        <w:rPr>
          <w:color w:val="2A2A45"/>
        </w:rPr>
        <w:t xml:space="preserve">Maintain and distribute this directory to all workforce members. Review quarterly.</w:t>
      </w:r>
    </w:p>
    <w:p>
      <w:pPr>
        <w:pStyle w:val="ListParagraph"/>
        <w:numPr>
          <w:ilvl w:val="0"/>
          <w:numId w:val="2"/>
        </w:numPr>
        <w:spacing w:after="120"/>
      </w:pPr>
      <w:r>
        <w:rPr>
          <w:b/>
          <w:bCs/>
          <w:color w:val="1A1A3A"/>
        </w:rPr>
        <w:t xml:space="preserve">Security Officer: </w:t>
      </w:r>
      <w:r>
        <w:rPr>
          <w:color w:val="2A2A45"/>
        </w:rPr>
        <w:t xml:space="preserve">[Name] · [Phone] · info@tondo-digital.com</w:t>
      </w:r>
    </w:p>
    <w:p>
      <w:pPr>
        <w:pStyle w:val="ListParagraph"/>
        <w:numPr>
          <w:ilvl w:val="0"/>
          <w:numId w:val="2"/>
        </w:numPr>
        <w:spacing w:after="120"/>
      </w:pPr>
      <w:r>
        <w:rPr>
          <w:b/>
          <w:bCs/>
          <w:color w:val="1A1A3A"/>
        </w:rPr>
        <w:t xml:space="preserve">Privacy Officer: </w:t>
      </w:r>
      <w:r>
        <w:rPr>
          <w:color w:val="2A2A45"/>
        </w:rPr>
        <w:t xml:space="preserve">[Name] · [Phone] · info@tondo-digital.com</w:t>
      </w:r>
    </w:p>
    <w:p>
      <w:pPr>
        <w:pStyle w:val="ListParagraph"/>
        <w:numPr>
          <w:ilvl w:val="0"/>
          <w:numId w:val="2"/>
        </w:numPr>
        <w:spacing w:after="120"/>
      </w:pPr>
      <w:r>
        <w:rPr>
          <w:b/>
          <w:bCs/>
          <w:color w:val="1A1A3A"/>
        </w:rPr>
        <w:t xml:space="preserve">Engineering Lead: </w:t>
      </w:r>
      <w:r>
        <w:rPr>
          <w:color w:val="2A2A45"/>
        </w:rPr>
        <w:t xml:space="preserve">[Name] · [Phone] · info@tondo-digital.com</w:t>
      </w:r>
    </w:p>
    <w:p>
      <w:pPr>
        <w:pStyle w:val="ListParagraph"/>
        <w:numPr>
          <w:ilvl w:val="0"/>
          <w:numId w:val="2"/>
        </w:numPr>
        <w:spacing w:after="120"/>
      </w:pPr>
      <w:r>
        <w:rPr>
          <w:b/>
          <w:bCs/>
          <w:color w:val="1A1A3A"/>
        </w:rPr>
        <w:t xml:space="preserve">Legal Counsel: </w:t>
      </w:r>
      <w:r>
        <w:rPr>
          <w:color w:val="2A2A45"/>
        </w:rPr>
        <w:t xml:space="preserve">[Firm Name] · [Contact] · [Phone]</w:t>
      </w:r>
    </w:p>
    <w:p>
      <w:pPr>
        <w:pStyle w:val="ListParagraph"/>
        <w:numPr>
          <w:ilvl w:val="0"/>
          <w:numId w:val="2"/>
        </w:numPr>
        <w:spacing w:after="120"/>
      </w:pPr>
      <w:r>
        <w:rPr>
          <w:b/>
          <w:bCs/>
          <w:color w:val="1A1A3A"/>
        </w:rPr>
        <w:t xml:space="preserve">Cyber Insurance Carrier: </w:t>
      </w:r>
      <w:r>
        <w:rPr>
          <w:color w:val="2A2A45"/>
        </w:rPr>
        <w:t xml:space="preserve">[Carrier] · [Policy #] · [Claims Phone]</w:t>
      </w:r>
    </w:p>
    <w:p>
      <w:pPr>
        <w:pStyle w:val="ListParagraph"/>
        <w:numPr>
          <w:ilvl w:val="0"/>
          <w:numId w:val="2"/>
        </w:numPr>
        <w:spacing w:after="120"/>
      </w:pPr>
      <w:r>
        <w:rPr>
          <w:b/>
          <w:bCs/>
          <w:color w:val="1A1A3A"/>
        </w:rPr>
        <w:t xml:space="preserve">HHS Office for Civil Rights: </w:t>
      </w:r>
      <w:r>
        <w:rPr>
          <w:color w:val="2A2A45"/>
        </w:rPr>
        <w:t xml:space="preserve">1-800-368-1019 · https://www.hhs.gov/ocr/</w:t>
      </w:r>
    </w:p>
    <w:p>
      <w:pPr>
        <w:keepNext/>
        <w:spacing w:after="160" w:before="320"/>
      </w:pPr>
      <w:r>
        <w:rPr>
          <w:b/>
          <w:bCs/>
          <w:color w:val="D63384"/>
          <w:sz w:val="24"/>
          <w:szCs w:val="24"/>
        </w:rPr>
        <w:t xml:space="preserve">11.  </w:t>
      </w:r>
      <w:r>
        <w:rPr>
          <w:b/>
          <w:bCs/>
          <w:color w:val="1A1A3A"/>
          <w:sz w:val="24"/>
          <w:szCs w:val="24"/>
        </w:rPr>
        <w:t xml:space="preserve">How to Report an Incident</w:t>
      </w:r>
    </w:p>
    <w:p>
      <w:pPr>
        <w:spacing w:after="160"/>
      </w:pPr>
      <w:r>
        <w:rPr>
          <w:color w:val="2A2A45"/>
        </w:rPr>
        <w:t xml:space="preserve">Any workforce member, contractor, or third party who suspects a security incident must report it immediately through one of the following channels:</w:t>
      </w:r>
    </w:p>
    <w:p>
      <w:pPr>
        <w:pStyle w:val="ListParagraph"/>
        <w:numPr>
          <w:ilvl w:val="0"/>
          <w:numId w:val="2"/>
        </w:numPr>
        <w:spacing w:after="120"/>
      </w:pPr>
      <w:r>
        <w:rPr>
          <w:color w:val="2A2A45"/>
        </w:rPr>
        <w:t xml:space="preserve">Email: info@tondo-digital.com</w:t>
      </w:r>
    </w:p>
    <w:p>
      <w:pPr>
        <w:pStyle w:val="ListParagraph"/>
        <w:numPr>
          <w:ilvl w:val="0"/>
          <w:numId w:val="2"/>
        </w:numPr>
        <w:spacing w:after="120"/>
      </w:pPr>
      <w:r>
        <w:rPr>
          <w:color w:val="2A2A45"/>
        </w:rPr>
        <w:t xml:space="preserve">Direct contact with the Security Officer (see Section 10)</w:t>
      </w:r>
    </w:p>
    <w:p>
      <w:pPr>
        <w:pStyle w:val="ListParagraph"/>
        <w:numPr>
          <w:ilvl w:val="0"/>
          <w:numId w:val="2"/>
        </w:numPr>
        <w:spacing w:after="120"/>
      </w:pPr>
      <w:r>
        <w:rPr>
          <w:color w:val="2A2A45"/>
        </w:rPr>
        <w:t xml:space="preserve">Anonymous reporting: [channel TBD — e.g., Ethics Hotline]</w:t>
      </w:r>
    </w:p>
    <w:p>
      <w:pPr>
        <w:spacing w:after="160"/>
      </w:pPr>
      <w:r>
        <w:rPr>
          <w:color w:val="2A2A45"/>
        </w:rPr>
        <w:t xml:space="preserve">Reporters are protected from retaliation for good-faith reports.</w:t>
      </w:r>
    </w:p>
    <w:p>
      <w:pPr>
        <w:pBdr>
          <w:bottom w:val="single" w:color="CCCCCC" w:sz="6" w:space="6"/>
        </w:pBdr>
        <w:spacing w:after="120" w:before="400"/>
      </w:pPr>
      <w:r>
        <w:t xml:space="preserve"/>
      </w:r>
    </w:p>
    <w:p>
      <w:pPr>
        <w:spacing w:after="120" w:before="120"/>
      </w:pPr>
      <w:r>
        <w:rPr>
          <w:b/>
          <w:bCs/>
          <w:color w:val="1A1A3A"/>
          <w:sz w:val="22"/>
          <w:szCs w:val="22"/>
        </w:rPr>
        <w:t xml:space="preserve">Revision History</w:t>
      </w:r>
    </w:p>
    <w:p>
      <w:pPr>
        <w:spacing w:after="40"/>
      </w:pPr>
      <w:r>
        <w:rPr>
          <w:b/>
          <w:bCs/>
          <w:color w:val="1A1A3A"/>
        </w:rPr>
        <w:t xml:space="preserve">v1.0</w:t>
      </w:r>
      <w:r>
        <w:rPr>
          <w:color w:val="2A2A45"/>
        </w:rPr>
        <w:t xml:space="preserve">    [Effective Date]    Initial version.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Rinnova Breach and Incident Response Plan</dc:title>
  <dc:creator>Tondo</dc:creator>
  <cp:lastModifiedBy>Un-named</cp:lastModifiedBy>
  <cp:revision>1</cp:revision>
  <dcterms:created xsi:type="dcterms:W3CDTF">2026-04-21T15:56:09.291Z</dcterms:created>
  <dcterms:modified xsi:type="dcterms:W3CDTF">2026-04-21T15:56:09.292Z</dcterms:modified>
</cp:coreProperties>
</file>

<file path=docProps/custom.xml><?xml version="1.0" encoding="utf-8"?>
<Properties xmlns="http://schemas.openxmlformats.org/officeDocument/2006/custom-properties" xmlns:vt="http://schemas.openxmlformats.org/officeDocument/2006/docPropsVTypes"/>
</file>