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0F3D"/>
          <w:spacing w:val="80"/>
          <w:sz w:val="20"/>
          <w:szCs w:val="20"/>
        </w:rPr>
        <w:t xml:space="preserve">TONDO</w:t>
      </w:r>
    </w:p>
    <w:p>
      <w:pPr>
        <w:pBdr>
          <w:bottom w:val="single" w:color="D63384" w:sz="8" w:space="8"/>
        </w:pBdr>
        <w:spacing w:after="480"/>
      </w:pPr>
      <w:r>
        <w:rPr>
          <w:color w:val="707090"/>
          <w:spacing w:val="60"/>
          <w:sz w:val="16"/>
          <w:szCs w:val="16"/>
        </w:rPr>
        <w:t xml:space="preserve">RINNOVA · HIPAA POLICY</w:t>
      </w:r>
    </w:p>
    <w:p>
      <w:pPr>
        <w:spacing w:after="120"/>
        <w:jc w:val="center"/>
      </w:pPr>
      <w:r>
        <w:rPr>
          <w:rFonts w:ascii="Georgia" w:cs="Georgia" w:eastAsia="Georgia" w:hAnsi="Georgia"/>
          <w:color w:val="1A1A3A"/>
          <w:sz w:val="40"/>
          <w:szCs w:val="40"/>
        </w:rPr>
        <w:t xml:space="preserve">HIPAA Privacy Policy</w:t>
      </w:r>
    </w:p>
    <w:p>
      <w:pPr>
        <w:spacing w:after="400"/>
        <w:jc w:val="center"/>
      </w:pPr>
      <w:r>
        <w:rPr>
          <w:i/>
          <w:iCs/>
          <w:color w:val="707090"/>
          <w:sz w:val="20"/>
          <w:szCs w:val="20"/>
        </w:rPr>
        <w:t xml:space="preserve">How Tondo, Inc. handles Protected Health Information</w:t>
      </w:r>
    </w:p>
    <w:p>
      <w:pPr>
        <w:spacing w:after="40"/>
      </w:pPr>
      <w:r>
        <w:rPr>
          <w:b/>
          <w:bCs/>
          <w:color w:val="1A1A3A"/>
          <w:sz w:val="18"/>
          <w:szCs w:val="18"/>
        </w:rPr>
        <w:t xml:space="preserve">Document:  </w:t>
      </w:r>
      <w:r>
        <w:rPr>
          <w:color w:val="2A2A45"/>
          <w:sz w:val="18"/>
          <w:szCs w:val="18"/>
        </w:rPr>
        <w:t xml:space="preserve">Rinnova HIPAA Privacy Policy</w:t>
      </w:r>
    </w:p>
    <w:p>
      <w:pPr>
        <w:spacing w:after="40"/>
      </w:pPr>
      <w:r>
        <w:rPr>
          <w:b/>
          <w:bCs/>
          <w:color w:val="1A1A3A"/>
          <w:sz w:val="18"/>
          <w:szCs w:val="18"/>
        </w:rPr>
        <w:t xml:space="preserve">Version:  </w:t>
      </w:r>
      <w:r>
        <w:rPr>
          <w:color w:val="2A2A45"/>
          <w:sz w:val="18"/>
          <w:szCs w:val="18"/>
        </w:rPr>
        <w:t xml:space="preserve">1.0</w:t>
      </w:r>
    </w:p>
    <w:p>
      <w:pPr>
        <w:spacing w:after="40"/>
      </w:pPr>
      <w:r>
        <w:rPr>
          <w:b/>
          <w:bCs/>
          <w:color w:val="1A1A3A"/>
          <w:sz w:val="18"/>
          <w:szCs w:val="18"/>
        </w:rPr>
        <w:t xml:space="preserve">Effective Date:  </w:t>
      </w:r>
      <w:r>
        <w:rPr>
          <w:color w:val="2A2A45"/>
          <w:sz w:val="18"/>
          <w:szCs w:val="18"/>
        </w:rPr>
        <w:t xml:space="preserve">[Effective Date]</w:t>
      </w:r>
    </w:p>
    <w:p>
      <w:pPr>
        <w:spacing w:after="40"/>
      </w:pPr>
      <w:r>
        <w:rPr>
          <w:b/>
          <w:bCs/>
          <w:color w:val="1A1A3A"/>
          <w:sz w:val="18"/>
          <w:szCs w:val="18"/>
        </w:rPr>
        <w:t xml:space="preserve">Review Cycle:  </w:t>
      </w:r>
      <w:r>
        <w:rPr>
          <w:color w:val="2A2A45"/>
          <w:sz w:val="18"/>
          <w:szCs w:val="18"/>
        </w:rPr>
        <w:t xml:space="preserve">Annual</w:t>
      </w:r>
    </w:p>
    <w:p>
      <w:pPr>
        <w:spacing w:after="40"/>
      </w:pPr>
      <w:r>
        <w:rPr>
          <w:b/>
          <w:bCs/>
          <w:color w:val="1A1A3A"/>
          <w:sz w:val="18"/>
          <w:szCs w:val="18"/>
        </w:rPr>
        <w:t xml:space="preserve">Owner:  </w:t>
      </w:r>
      <w:r>
        <w:rPr>
          <w:color w:val="2A2A45"/>
          <w:sz w:val="18"/>
          <w:szCs w:val="18"/>
        </w:rPr>
        <w:t xml:space="preserve">Privacy Officer / Founder</w:t>
      </w:r>
    </w:p>
    <w:p>
      <w:pPr>
        <w:spacing w:after="40"/>
      </w:pPr>
      <w:r>
        <w:rPr>
          <w:b/>
          <w:bCs/>
          <w:color w:val="1A1A3A"/>
          <w:sz w:val="18"/>
          <w:szCs w:val="18"/>
        </w:rPr>
        <w:t xml:space="preserve">Approved By:  </w:t>
      </w:r>
      <w:r>
        <w:rPr>
          <w:color w:val="2A2A45"/>
          <w:sz w:val="18"/>
          <w:szCs w:val="18"/>
        </w:rPr>
        <w:t xml:space="preserve">[Founder Name]</w:t>
      </w:r>
    </w:p>
    <w:p>
      <w:pPr>
        <w:pBdr>
          <w:bottom w:val="single" w:color="CCCCCC" w:sz="6" w:space="6"/>
        </w:pBdr>
        <w:spacing w:after="240" w:before="120"/>
      </w:pPr>
      <w:r>
        <w:t xml:space="preserve"/>
      </w:r>
    </w:p>
    <w:p>
      <w:pPr>
        <w:keepNext/>
        <w:spacing w:after="160" w:before="320"/>
      </w:pPr>
      <w:r>
        <w:rPr>
          <w:b/>
          <w:bCs/>
          <w:color w:val="D63384"/>
          <w:sz w:val="24"/>
          <w:szCs w:val="24"/>
        </w:rPr>
        <w:t xml:space="preserve">1.  </w:t>
      </w:r>
      <w:r>
        <w:rPr>
          <w:b/>
          <w:bCs/>
          <w:color w:val="1A1A3A"/>
          <w:sz w:val="24"/>
          <w:szCs w:val="24"/>
        </w:rPr>
        <w:t xml:space="preserve">Purpose and Scope</w:t>
      </w:r>
    </w:p>
    <w:p>
      <w:pPr>
        <w:spacing w:after="160"/>
      </w:pPr>
      <w:r>
        <w:rPr>
          <w:color w:val="2A2A45"/>
        </w:rPr>
        <w:t xml:space="preserve">This Privacy Policy establishes the standards by which Tondo, Inc. (“Rinnova,” “we,” “us”) handles Protected Health Information (“PHI”) as a Business Associate under the Health Insurance Portability and Accountability Act of 1996 (“HIPAA”), the HITECH Act of 2009, and their implementing regulations.</w:t>
      </w:r>
    </w:p>
    <w:p>
      <w:pPr>
        <w:spacing w:after="160"/>
      </w:pPr>
      <w:r>
        <w:rPr>
          <w:color w:val="2A2A45"/>
        </w:rPr>
        <w:t xml:space="preserve">This policy applies to all workforce members — employees, contractors, consultants, and interns — and to all systems, applications, and third-party services used by Rinnova to create, receive, maintain, or transmit PHI on behalf of Covered Entities.</w:t>
      </w:r>
    </w:p>
    <w:p>
      <w:pPr>
        <w:keepNext/>
        <w:spacing w:after="160" w:before="320"/>
      </w:pPr>
      <w:r>
        <w:rPr>
          <w:b/>
          <w:bCs/>
          <w:color w:val="D63384"/>
          <w:sz w:val="24"/>
          <w:szCs w:val="24"/>
        </w:rPr>
        <w:t xml:space="preserve">2.  </w:t>
      </w:r>
      <w:r>
        <w:rPr>
          <w:b/>
          <w:bCs/>
          <w:color w:val="1A1A3A"/>
          <w:sz w:val="24"/>
          <w:szCs w:val="24"/>
        </w:rPr>
        <w:t xml:space="preserve">Definitions</w:t>
      </w:r>
    </w:p>
    <w:p>
      <w:pPr>
        <w:spacing w:after="160"/>
      </w:pPr>
      <w:r>
        <w:rPr>
          <w:color w:val="2A2A45"/>
        </w:rPr>
        <w:t xml:space="preserve">Capitalized terms not defined here have the meanings given in 45 CFR Parts 160 and 164. Key terms include:</w:t>
      </w:r>
    </w:p>
    <w:p>
      <w:pPr>
        <w:pStyle w:val="ListParagraph"/>
        <w:numPr>
          <w:ilvl w:val="0"/>
          <w:numId w:val="2"/>
        </w:numPr>
        <w:spacing w:after="120"/>
      </w:pPr>
      <w:r>
        <w:rPr>
          <w:b/>
          <w:bCs/>
          <w:color w:val="1A1A3A"/>
        </w:rPr>
        <w:t xml:space="preserve">Protected Health Information (PHI): </w:t>
      </w:r>
      <w:r>
        <w:rPr>
          <w:color w:val="2A2A45"/>
        </w:rPr>
        <w:t xml:space="preserve">Individually identifiable health information maintained or transmitted by Rinnova on behalf of a Covered Entity.</w:t>
      </w:r>
    </w:p>
    <w:p>
      <w:pPr>
        <w:pStyle w:val="ListParagraph"/>
        <w:numPr>
          <w:ilvl w:val="0"/>
          <w:numId w:val="2"/>
        </w:numPr>
        <w:spacing w:after="120"/>
      </w:pPr>
      <w:r>
        <w:rPr>
          <w:b/>
          <w:bCs/>
          <w:color w:val="1A1A3A"/>
        </w:rPr>
        <w:t xml:space="preserve">Electronic PHI (ePHI): </w:t>
      </w:r>
      <w:r>
        <w:rPr>
          <w:color w:val="2A2A45"/>
        </w:rPr>
        <w:t xml:space="preserve">PHI transmitted or maintained in electronic form.</w:t>
      </w:r>
    </w:p>
    <w:p>
      <w:pPr>
        <w:pStyle w:val="ListParagraph"/>
        <w:numPr>
          <w:ilvl w:val="0"/>
          <w:numId w:val="2"/>
        </w:numPr>
        <w:spacing w:after="120"/>
      </w:pPr>
      <w:r>
        <w:rPr>
          <w:b/>
          <w:bCs/>
          <w:color w:val="1A1A3A"/>
        </w:rPr>
        <w:t xml:space="preserve">Covered Entity: </w:t>
      </w:r>
      <w:r>
        <w:rPr>
          <w:color w:val="2A2A45"/>
        </w:rPr>
        <w:t xml:space="preserve">A healthcare provider, health plan, or healthcare clearinghouse that has entered into a Business Associate Agreement with Rinnova.</w:t>
      </w:r>
    </w:p>
    <w:p>
      <w:pPr>
        <w:pStyle w:val="ListParagraph"/>
        <w:numPr>
          <w:ilvl w:val="0"/>
          <w:numId w:val="2"/>
        </w:numPr>
        <w:spacing w:after="120"/>
      </w:pPr>
      <w:r>
        <w:rPr>
          <w:b/>
          <w:bCs/>
          <w:color w:val="1A1A3A"/>
        </w:rPr>
        <w:t xml:space="preserve">Workforce Member: </w:t>
      </w:r>
      <w:r>
        <w:rPr>
          <w:color w:val="2A2A45"/>
        </w:rPr>
        <w:t xml:space="preserve">Any employee, contractor, intern, or volunteer with authorized access to Rinnova systems.</w:t>
      </w:r>
    </w:p>
    <w:p>
      <w:pPr>
        <w:pStyle w:val="ListParagraph"/>
        <w:numPr>
          <w:ilvl w:val="0"/>
          <w:numId w:val="2"/>
        </w:numPr>
        <w:spacing w:after="120"/>
      </w:pPr>
      <w:r>
        <w:rPr>
          <w:b/>
          <w:bCs/>
          <w:color w:val="1A1A3A"/>
        </w:rPr>
        <w:t xml:space="preserve">Minimum Necessary: </w:t>
      </w:r>
      <w:r>
        <w:rPr>
          <w:color w:val="2A2A45"/>
        </w:rPr>
        <w:t xml:space="preserve">The smallest amount of PHI needed to accomplish a specific purpose.</w:t>
      </w:r>
    </w:p>
    <w:p>
      <w:pPr>
        <w:keepNext/>
        <w:spacing w:after="160" w:before="320"/>
      </w:pPr>
      <w:r>
        <w:rPr>
          <w:b/>
          <w:bCs/>
          <w:color w:val="D63384"/>
          <w:sz w:val="24"/>
          <w:szCs w:val="24"/>
        </w:rPr>
        <w:t xml:space="preserve">3.  </w:t>
      </w:r>
      <w:r>
        <w:rPr>
          <w:b/>
          <w:bCs/>
          <w:color w:val="1A1A3A"/>
          <w:sz w:val="24"/>
          <w:szCs w:val="24"/>
        </w:rPr>
        <w:t xml:space="preserve">Permitted Uses and Disclosures of PHI</w:t>
      </w:r>
    </w:p>
    <w:p>
      <w:pPr>
        <w:spacing w:after="160"/>
      </w:pPr>
      <w:r>
        <w:rPr>
          <w:color w:val="2A2A45"/>
        </w:rPr>
        <w:t xml:space="preserve">Rinnova uses and discloses PHI only as permitted by the underlying Business Associate Agreement with each Covered Entity, as required by law, or with patient authorization.</w:t>
      </w:r>
    </w:p>
    <w:p>
      <w:pPr>
        <w:keepNext/>
        <w:spacing w:after="100" w:before="200"/>
        <w:ind w:left="360"/>
      </w:pPr>
      <w:r>
        <w:rPr>
          <w:b/>
          <w:bCs/>
          <w:color w:val="1A1A3A"/>
        </w:rPr>
        <w:t xml:space="preserve">a)  </w:t>
      </w:r>
      <w:r>
        <w:rPr>
          <w:b/>
          <w:bCs/>
          <w:color w:val="1A1A3A"/>
        </w:rPr>
        <w:t xml:space="preserve">Service Delivery</w:t>
      </w:r>
    </w:p>
    <w:p>
      <w:pPr>
        <w:spacing w:after="160"/>
        <w:ind w:left="360"/>
      </w:pPr>
      <w:r>
        <w:rPr>
          <w:color w:val="2A2A45"/>
        </w:rPr>
        <w:t xml:space="preserve">We use PHI to provide the Rinnova platform — storing treatment records, facilitating provider-patient communication, sending reminders, and generating analytics — as specified in our service agreements.</w:t>
      </w:r>
    </w:p>
    <w:p>
      <w:pPr>
        <w:keepNext/>
        <w:spacing w:after="100" w:before="200"/>
        <w:ind w:left="360"/>
      </w:pPr>
      <w:r>
        <w:rPr>
          <w:b/>
          <w:bCs/>
          <w:color w:val="1A1A3A"/>
        </w:rPr>
        <w:t xml:space="preserve">b)  </w:t>
      </w:r>
      <w:r>
        <w:rPr>
          <w:b/>
          <w:bCs/>
          <w:color w:val="1A1A3A"/>
        </w:rPr>
        <w:t xml:space="preserve">Minimum Necessary Standard</w:t>
      </w:r>
    </w:p>
    <w:p>
      <w:pPr>
        <w:spacing w:after="160"/>
        <w:ind w:left="360"/>
      </w:pPr>
      <w:r>
        <w:rPr>
          <w:color w:val="2A2A45"/>
        </w:rPr>
        <w:t xml:space="preserve">We limit PHI access to workforce members who require it to perform their job functions, and only to the minimum amount necessary to accomplish the intended purpose.</w:t>
      </w:r>
    </w:p>
    <w:p>
      <w:pPr>
        <w:keepNext/>
        <w:spacing w:after="100" w:before="200"/>
        <w:ind w:left="360"/>
      </w:pPr>
      <w:r>
        <w:rPr>
          <w:b/>
          <w:bCs/>
          <w:color w:val="1A1A3A"/>
        </w:rPr>
        <w:t xml:space="preserve">c)  </w:t>
      </w:r>
      <w:r>
        <w:rPr>
          <w:b/>
          <w:bCs/>
          <w:color w:val="1A1A3A"/>
        </w:rPr>
        <w:t xml:space="preserve">De-Identified Data</w:t>
      </w:r>
    </w:p>
    <w:p>
      <w:pPr>
        <w:spacing w:after="160"/>
        <w:ind w:left="360"/>
      </w:pPr>
      <w:r>
        <w:rPr>
          <w:color w:val="2A2A45"/>
        </w:rPr>
        <w:t xml:space="preserve">PHI may be de-identified in accordance with 45 CFR § 164.514(a)–(c). De-identified data is not subject to this policy and may be used for product improvement, research, and aggregate industry analytics.</w:t>
      </w:r>
    </w:p>
    <w:p>
      <w:pPr>
        <w:keepNext/>
        <w:spacing w:after="100" w:before="200"/>
        <w:ind w:left="360"/>
      </w:pPr>
      <w:r>
        <w:rPr>
          <w:b/>
          <w:bCs/>
          <w:color w:val="1A1A3A"/>
        </w:rPr>
        <w:t xml:space="preserve">d)  </w:t>
      </w:r>
      <w:r>
        <w:rPr>
          <w:b/>
          <w:bCs/>
          <w:color w:val="1A1A3A"/>
        </w:rPr>
        <w:t xml:space="preserve">Prohibited Uses</w:t>
      </w:r>
    </w:p>
    <w:p>
      <w:pPr>
        <w:spacing w:after="160"/>
        <w:ind w:left="360"/>
      </w:pPr>
      <w:r>
        <w:rPr>
          <w:color w:val="2A2A45"/>
        </w:rPr>
        <w:t xml:space="preserve">Rinnova does not sell PHI, use PHI for marketing to the individual, or disclose PHI for any purpose not expressly permitted by the applicable BAA or patient authorization.</w:t>
      </w:r>
    </w:p>
    <w:p>
      <w:pPr>
        <w:keepNext/>
        <w:spacing w:after="160" w:before="320"/>
      </w:pPr>
      <w:r>
        <w:rPr>
          <w:b/>
          <w:bCs/>
          <w:color w:val="D63384"/>
          <w:sz w:val="24"/>
          <w:szCs w:val="24"/>
        </w:rPr>
        <w:t xml:space="preserve">4.  </w:t>
      </w:r>
      <w:r>
        <w:rPr>
          <w:b/>
          <w:bCs/>
          <w:color w:val="1A1A3A"/>
          <w:sz w:val="24"/>
          <w:szCs w:val="24"/>
        </w:rPr>
        <w:t xml:space="preserve">Individual Rights</w:t>
      </w:r>
    </w:p>
    <w:p>
      <w:pPr>
        <w:spacing w:after="160"/>
      </w:pPr>
      <w:r>
        <w:rPr>
          <w:color w:val="2A2A45"/>
        </w:rPr>
        <w:t xml:space="preserve">Through the Covered Entity, individuals have the following rights with respect to their PHI. Rinnova will support the Covered Entity in fulfilling requests within the timeframes required by HIPAA:</w:t>
      </w:r>
    </w:p>
    <w:p>
      <w:pPr>
        <w:pStyle w:val="ListParagraph"/>
        <w:numPr>
          <w:ilvl w:val="0"/>
          <w:numId w:val="2"/>
        </w:numPr>
        <w:spacing w:after="120"/>
      </w:pPr>
      <w:r>
        <w:rPr>
          <w:b/>
          <w:bCs/>
          <w:color w:val="1A1A3A"/>
        </w:rPr>
        <w:t xml:space="preserve">Right of Access: </w:t>
      </w:r>
      <w:r>
        <w:rPr>
          <w:color w:val="2A2A45"/>
        </w:rPr>
        <w:t xml:space="preserve">Obtain a copy of their PHI within 15 business days of request.</w:t>
      </w:r>
    </w:p>
    <w:p>
      <w:pPr>
        <w:pStyle w:val="ListParagraph"/>
        <w:numPr>
          <w:ilvl w:val="0"/>
          <w:numId w:val="2"/>
        </w:numPr>
        <w:spacing w:after="120"/>
      </w:pPr>
      <w:r>
        <w:rPr>
          <w:b/>
          <w:bCs/>
          <w:color w:val="1A1A3A"/>
        </w:rPr>
        <w:t xml:space="preserve">Right to Amend: </w:t>
      </w:r>
      <w:r>
        <w:rPr>
          <w:color w:val="2A2A45"/>
        </w:rPr>
        <w:t xml:space="preserve">Request correction of inaccurate or incomplete PHI within 30 business days.</w:t>
      </w:r>
    </w:p>
    <w:p>
      <w:pPr>
        <w:pStyle w:val="ListParagraph"/>
        <w:numPr>
          <w:ilvl w:val="0"/>
          <w:numId w:val="2"/>
        </w:numPr>
        <w:spacing w:after="120"/>
      </w:pPr>
      <w:r>
        <w:rPr>
          <w:b/>
          <w:bCs/>
          <w:color w:val="1A1A3A"/>
        </w:rPr>
        <w:t xml:space="preserve">Right to an Accounting: </w:t>
      </w:r>
      <w:r>
        <w:rPr>
          <w:color w:val="2A2A45"/>
        </w:rPr>
        <w:t xml:space="preserve">Receive an accounting of disclosures within 30 business days.</w:t>
      </w:r>
    </w:p>
    <w:p>
      <w:pPr>
        <w:pStyle w:val="ListParagraph"/>
        <w:numPr>
          <w:ilvl w:val="0"/>
          <w:numId w:val="2"/>
        </w:numPr>
        <w:spacing w:after="120"/>
      </w:pPr>
      <w:r>
        <w:rPr>
          <w:b/>
          <w:bCs/>
          <w:color w:val="1A1A3A"/>
        </w:rPr>
        <w:t xml:space="preserve">Right to Request Restrictions: </w:t>
      </w:r>
      <w:r>
        <w:rPr>
          <w:color w:val="2A2A45"/>
        </w:rPr>
        <w:t xml:space="preserve">Ask Rinnova to restrict certain uses or disclosures.</w:t>
      </w:r>
    </w:p>
    <w:p>
      <w:pPr>
        <w:pStyle w:val="ListParagraph"/>
        <w:numPr>
          <w:ilvl w:val="0"/>
          <w:numId w:val="2"/>
        </w:numPr>
        <w:spacing w:after="120"/>
      </w:pPr>
      <w:r>
        <w:rPr>
          <w:b/>
          <w:bCs/>
          <w:color w:val="1A1A3A"/>
        </w:rPr>
        <w:t xml:space="preserve">Right to Confidential Communications: </w:t>
      </w:r>
      <w:r>
        <w:rPr>
          <w:color w:val="2A2A45"/>
        </w:rPr>
        <w:t xml:space="preserve">Request alternative communication methods or locations.</w:t>
      </w:r>
    </w:p>
    <w:p>
      <w:pPr>
        <w:pStyle w:val="ListParagraph"/>
        <w:numPr>
          <w:ilvl w:val="0"/>
          <w:numId w:val="2"/>
        </w:numPr>
        <w:spacing w:after="120"/>
      </w:pPr>
      <w:r>
        <w:rPr>
          <w:b/>
          <w:bCs/>
          <w:color w:val="1A1A3A"/>
        </w:rPr>
        <w:t xml:space="preserve">Right to Receive Notice: </w:t>
      </w:r>
      <w:r>
        <w:rPr>
          <w:color w:val="2A2A45"/>
        </w:rPr>
        <w:t xml:space="preserve">Receive notice of breach affecting their Unsecured PHI.</w:t>
      </w:r>
    </w:p>
    <w:p>
      <w:pPr>
        <w:keepNext/>
        <w:spacing w:after="160" w:before="320"/>
      </w:pPr>
      <w:r>
        <w:rPr>
          <w:b/>
          <w:bCs/>
          <w:color w:val="D63384"/>
          <w:sz w:val="24"/>
          <w:szCs w:val="24"/>
        </w:rPr>
        <w:t xml:space="preserve">5.  </w:t>
      </w:r>
      <w:r>
        <w:rPr>
          <w:b/>
          <w:bCs/>
          <w:color w:val="1A1A3A"/>
          <w:sz w:val="24"/>
          <w:szCs w:val="24"/>
        </w:rPr>
        <w:t xml:space="preserve">Safeguards for PHI</w:t>
      </w:r>
    </w:p>
    <w:p>
      <w:pPr>
        <w:spacing w:after="160"/>
      </w:pPr>
      <w:r>
        <w:rPr>
          <w:color w:val="2A2A45"/>
        </w:rPr>
        <w:t xml:space="preserve">Rinnova maintains the following safeguards, consistent with the HIPAA Security Rule (45 CFR Part 164, Subpart C):</w:t>
      </w:r>
    </w:p>
    <w:p>
      <w:pPr>
        <w:keepNext/>
        <w:spacing w:after="100" w:before="200"/>
        <w:ind w:left="360"/>
      </w:pPr>
      <w:r>
        <w:rPr>
          <w:b/>
          <w:bCs/>
          <w:color w:val="1A1A3A"/>
        </w:rPr>
        <w:t xml:space="preserve">a)  </w:t>
      </w:r>
      <w:r>
        <w:rPr>
          <w:b/>
          <w:bCs/>
          <w:color w:val="1A1A3A"/>
        </w:rPr>
        <w:t xml:space="preserve">Administrative Safeguards</w:t>
      </w:r>
    </w:p>
    <w:p>
      <w:pPr>
        <w:spacing w:after="160"/>
        <w:ind w:left="360"/>
      </w:pPr>
      <w:r>
        <w:rPr>
          <w:color w:val="2A2A45"/>
        </w:rPr>
        <w:t xml:space="preserve">Designated Privacy Officer and Security Officer, workforce security training (at onboarding and annually), access management procedures, security incident response plan, and contingency plans.</w:t>
      </w:r>
    </w:p>
    <w:p>
      <w:pPr>
        <w:keepNext/>
        <w:spacing w:after="100" w:before="200"/>
        <w:ind w:left="360"/>
      </w:pPr>
      <w:r>
        <w:rPr>
          <w:b/>
          <w:bCs/>
          <w:color w:val="1A1A3A"/>
        </w:rPr>
        <w:t xml:space="preserve">b)  </w:t>
      </w:r>
      <w:r>
        <w:rPr>
          <w:b/>
          <w:bCs/>
          <w:color w:val="1A1A3A"/>
        </w:rPr>
        <w:t xml:space="preserve">Physical Safeguards</w:t>
      </w:r>
    </w:p>
    <w:p>
      <w:pPr>
        <w:spacing w:after="160"/>
        <w:ind w:left="360"/>
      </w:pPr>
      <w:r>
        <w:rPr>
          <w:color w:val="2A2A45"/>
        </w:rPr>
        <w:t xml:space="preserve">All production infrastructure is hosted in SOC 2 Type II certified data centers with physical access controls. Workforce member devices are encrypted at rest and require strong authentication.</w:t>
      </w:r>
    </w:p>
    <w:p>
      <w:pPr>
        <w:keepNext/>
        <w:spacing w:after="100" w:before="200"/>
        <w:ind w:left="360"/>
      </w:pPr>
      <w:r>
        <w:rPr>
          <w:b/>
          <w:bCs/>
          <w:color w:val="1A1A3A"/>
        </w:rPr>
        <w:t xml:space="preserve">c)  </w:t>
      </w:r>
      <w:r>
        <w:rPr>
          <w:b/>
          <w:bCs/>
          <w:color w:val="1A1A3A"/>
        </w:rPr>
        <w:t xml:space="preserve">Technical Safeguards</w:t>
      </w:r>
    </w:p>
    <w:p>
      <w:pPr>
        <w:spacing w:after="160"/>
        <w:ind w:left="360"/>
      </w:pPr>
      <w:r>
        <w:rPr>
          <w:color w:val="2A2A45"/>
        </w:rPr>
        <w:t xml:space="preserve">Encryption of PHI in transit (TLS 1.2+) and at rest (AES-256), role-based access controls, unique user identification, automatic session timeouts, audit logging of all PHI access, and integrity controls to prevent unauthorized modification.</w:t>
      </w:r>
    </w:p>
    <w:p>
      <w:pPr>
        <w:keepNext/>
        <w:spacing w:after="160" w:before="320"/>
      </w:pPr>
      <w:r>
        <w:rPr>
          <w:b/>
          <w:bCs/>
          <w:color w:val="D63384"/>
          <w:sz w:val="24"/>
          <w:szCs w:val="24"/>
        </w:rPr>
        <w:t xml:space="preserve">6.  </w:t>
      </w:r>
      <w:r>
        <w:rPr>
          <w:b/>
          <w:bCs/>
          <w:color w:val="1A1A3A"/>
          <w:sz w:val="24"/>
          <w:szCs w:val="24"/>
        </w:rPr>
        <w:t xml:space="preserve">Vendor and Subcontractor Management</w:t>
      </w:r>
    </w:p>
    <w:p>
      <w:pPr>
        <w:spacing w:after="160"/>
      </w:pPr>
      <w:r>
        <w:rPr>
          <w:color w:val="2A2A45"/>
        </w:rPr>
        <w:t xml:space="preserve">Any subcontractor that creates, receives, maintains, or transmits PHI on behalf of Rinnova must sign a Business Associate Agreement with Rinnova before any PHI is shared. Rinnova maintains a list of all such subcontractors and reviews BAAs annually.</w:t>
      </w:r>
    </w:p>
    <w:p>
      <w:pPr>
        <w:keepNext/>
        <w:spacing w:after="160" w:before="320"/>
      </w:pPr>
      <w:r>
        <w:rPr>
          <w:b/>
          <w:bCs/>
          <w:color w:val="D63384"/>
          <w:sz w:val="24"/>
          <w:szCs w:val="24"/>
        </w:rPr>
        <w:t xml:space="preserve">7.  </w:t>
      </w:r>
      <w:r>
        <w:rPr>
          <w:b/>
          <w:bCs/>
          <w:color w:val="1A1A3A"/>
          <w:sz w:val="24"/>
          <w:szCs w:val="24"/>
        </w:rPr>
        <w:t xml:space="preserve">Workforce Training</w:t>
      </w:r>
    </w:p>
    <w:p>
      <w:pPr>
        <w:spacing w:after="160"/>
      </w:pPr>
      <w:r>
        <w:rPr>
          <w:color w:val="2A2A45"/>
        </w:rPr>
        <w:t xml:space="preserve">All workforce members complete HIPAA privacy and security training within 30 days of hire and annually thereafter. Training records are maintained for at least six (6) years. Additional training is provided when material changes occur to laws or policies.</w:t>
      </w:r>
    </w:p>
    <w:p>
      <w:pPr>
        <w:keepNext/>
        <w:spacing w:after="160" w:before="320"/>
      </w:pPr>
      <w:r>
        <w:rPr>
          <w:b/>
          <w:bCs/>
          <w:color w:val="D63384"/>
          <w:sz w:val="24"/>
          <w:szCs w:val="24"/>
        </w:rPr>
        <w:t xml:space="preserve">8.  </w:t>
      </w:r>
      <w:r>
        <w:rPr>
          <w:b/>
          <w:bCs/>
          <w:color w:val="1A1A3A"/>
          <w:sz w:val="24"/>
          <w:szCs w:val="24"/>
        </w:rPr>
        <w:t xml:space="preserve">Complaints and Concerns</w:t>
      </w:r>
    </w:p>
    <w:p>
      <w:pPr>
        <w:spacing w:after="160"/>
      </w:pPr>
      <w:r>
        <w:rPr>
          <w:color w:val="2A2A45"/>
        </w:rPr>
        <w:t xml:space="preserve">Anyone may submit privacy concerns or complaints to the Privacy Officer at info@tondo-digital.com. Complaints are investigated within 30 days. Rinnova does not retaliate against individuals who file complaints in good faith.</w:t>
      </w:r>
    </w:p>
    <w:p>
      <w:pPr>
        <w:keepNext/>
        <w:spacing w:after="160" w:before="320"/>
      </w:pPr>
      <w:r>
        <w:rPr>
          <w:b/>
          <w:bCs/>
          <w:color w:val="D63384"/>
          <w:sz w:val="24"/>
          <w:szCs w:val="24"/>
        </w:rPr>
        <w:t xml:space="preserve">9.  </w:t>
      </w:r>
      <w:r>
        <w:rPr>
          <w:b/>
          <w:bCs/>
          <w:color w:val="1A1A3A"/>
          <w:sz w:val="24"/>
          <w:szCs w:val="24"/>
        </w:rPr>
        <w:t xml:space="preserve">Sanctions for Violations</w:t>
      </w:r>
    </w:p>
    <w:p>
      <w:pPr>
        <w:spacing w:after="160"/>
      </w:pPr>
      <w:r>
        <w:rPr>
          <w:color w:val="2A2A45"/>
        </w:rPr>
        <w:t xml:space="preserve">Workforce members who violate this policy are subject to disciplinary action up to and including termination and, where applicable, civil or criminal penalties under HIPAA.</w:t>
      </w:r>
    </w:p>
    <w:p>
      <w:pPr>
        <w:keepNext/>
        <w:spacing w:after="160" w:before="320"/>
      </w:pPr>
      <w:r>
        <w:rPr>
          <w:b/>
          <w:bCs/>
          <w:color w:val="D63384"/>
          <w:sz w:val="24"/>
          <w:szCs w:val="24"/>
        </w:rPr>
        <w:t xml:space="preserve">10.  </w:t>
      </w:r>
      <w:r>
        <w:rPr>
          <w:b/>
          <w:bCs/>
          <w:color w:val="1A1A3A"/>
          <w:sz w:val="24"/>
          <w:szCs w:val="24"/>
        </w:rPr>
        <w:t xml:space="preserve">Documentation and Retention</w:t>
      </w:r>
    </w:p>
    <w:p>
      <w:pPr>
        <w:spacing w:after="160"/>
      </w:pPr>
      <w:r>
        <w:rPr>
          <w:color w:val="2A2A45"/>
        </w:rPr>
        <w:t xml:space="preserve">This policy, related procedures, training records, access logs, breach investigations, and related documentation are retained for at least six (6) years from the date of creation or last effective date, whichever is later.</w:t>
      </w:r>
    </w:p>
    <w:p>
      <w:pPr>
        <w:keepNext/>
        <w:spacing w:after="160" w:before="320"/>
      </w:pPr>
      <w:r>
        <w:rPr>
          <w:b/>
          <w:bCs/>
          <w:color w:val="D63384"/>
          <w:sz w:val="24"/>
          <w:szCs w:val="24"/>
        </w:rPr>
        <w:t xml:space="preserve">11.  </w:t>
      </w:r>
      <w:r>
        <w:rPr>
          <w:b/>
          <w:bCs/>
          <w:color w:val="1A1A3A"/>
          <w:sz w:val="24"/>
          <w:szCs w:val="24"/>
        </w:rPr>
        <w:t xml:space="preserve">Contact Information</w:t>
      </w:r>
    </w:p>
    <w:p>
      <w:pPr>
        <w:spacing w:after="160"/>
      </w:pPr>
      <w:r>
        <w:rPr>
          <w:color w:val="2A2A45"/>
        </w:rPr>
        <w:t xml:space="preserve">Privacy Officer: [Name]</w:t>
      </w:r>
    </w:p>
    <w:p>
      <w:pPr>
        <w:spacing w:after="160"/>
      </w:pPr>
      <w:r>
        <w:rPr>
          <w:color w:val="2A2A45"/>
        </w:rPr>
        <w:t xml:space="preserve">Email: info@tondo-digital.com</w:t>
      </w:r>
    </w:p>
    <w:p>
      <w:pPr>
        <w:spacing w:after="160"/>
      </w:pPr>
      <w:r>
        <w:rPr>
          <w:color w:val="2A2A45"/>
        </w:rPr>
        <w:t xml:space="preserve">Address: [Company Address]</w:t>
      </w:r>
    </w:p>
    <w:p>
      <w:pPr>
        <w:pBdr>
          <w:bottom w:val="single" w:color="CCCCCC" w:sz="6" w:space="6"/>
        </w:pBdr>
        <w:spacing w:after="120" w:before="400"/>
      </w:pPr>
      <w:r>
        <w:t xml:space="preserve"/>
      </w:r>
    </w:p>
    <w:p>
      <w:pPr>
        <w:spacing w:after="120" w:before="120"/>
      </w:pPr>
      <w:r>
        <w:rPr>
          <w:b/>
          <w:bCs/>
          <w:color w:val="1A1A3A"/>
          <w:sz w:val="22"/>
          <w:szCs w:val="22"/>
        </w:rPr>
        <w:t xml:space="preserve">Revision History</w:t>
      </w:r>
    </w:p>
    <w:p>
      <w:pPr>
        <w:spacing w:after="40"/>
      </w:pPr>
      <w:r>
        <w:rPr>
          <w:b/>
          <w:bCs/>
          <w:color w:val="1A1A3A"/>
        </w:rPr>
        <w:t xml:space="preserve">v1.0</w:t>
      </w:r>
      <w:r>
        <w:rPr>
          <w:color w:val="2A2A45"/>
        </w:rPr>
        <w:t xml:space="preserve">    [Effective Date]    Initial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Rinnova HIPAA Privacy Policy</dc:title>
  <dc:creator>Tondo</dc:creator>
  <cp:lastModifiedBy>Un-named</cp:lastModifiedBy>
  <cp:revision>1</cp:revision>
  <dcterms:created xsi:type="dcterms:W3CDTF">2026-04-21T15:56:08.414Z</dcterms:created>
  <dcterms:modified xsi:type="dcterms:W3CDTF">2026-04-21T15:56:08.416Z</dcterms:modified>
</cp:coreProperties>
</file>

<file path=docProps/custom.xml><?xml version="1.0" encoding="utf-8"?>
<Properties xmlns="http://schemas.openxmlformats.org/officeDocument/2006/custom-properties" xmlns:vt="http://schemas.openxmlformats.org/officeDocument/2006/docPropsVTypes"/>
</file>