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A0F3D"/>
          <w:spacing w:val="80"/>
          <w:sz w:val="20"/>
          <w:szCs w:val="20"/>
        </w:rPr>
        <w:t xml:space="preserve">TONDO</w:t>
      </w:r>
    </w:p>
    <w:p>
      <w:pPr>
        <w:pBdr>
          <w:bottom w:val="single" w:color="D63384" w:sz="8" w:space="8"/>
        </w:pBdr>
        <w:spacing w:after="480"/>
      </w:pPr>
      <w:r>
        <w:rPr>
          <w:color w:val="707090"/>
          <w:spacing w:val="60"/>
          <w:sz w:val="16"/>
          <w:szCs w:val="16"/>
        </w:rPr>
        <w:t xml:space="preserve">RINNOVA · SECURITY POLICY</w:t>
      </w:r>
    </w:p>
    <w:p>
      <w:pPr>
        <w:spacing w:after="120"/>
        <w:jc w:val="center"/>
      </w:pPr>
      <w:r>
        <w:rPr>
          <w:rFonts w:ascii="Georgia" w:cs="Georgia" w:eastAsia="Georgia" w:hAnsi="Georgia"/>
          <w:color w:val="1A1A3A"/>
          <w:sz w:val="40"/>
          <w:szCs w:val="40"/>
        </w:rPr>
        <w:t xml:space="preserve">Information Security Policy</w:t>
      </w:r>
    </w:p>
    <w:p>
      <w:pPr>
        <w:spacing w:after="400"/>
        <w:jc w:val="center"/>
      </w:pPr>
      <w:r>
        <w:rPr>
          <w:i/>
          <w:iCs/>
          <w:color w:val="707090"/>
          <w:sz w:val="20"/>
          <w:szCs w:val="20"/>
        </w:rPr>
        <w:t xml:space="preserve">Technical and organizational safeguards for PHI and company data</w:t>
      </w:r>
    </w:p>
    <w:p>
      <w:pPr>
        <w:spacing w:after="40"/>
      </w:pPr>
      <w:r>
        <w:rPr>
          <w:b/>
          <w:bCs/>
          <w:color w:val="1A1A3A"/>
          <w:sz w:val="18"/>
          <w:szCs w:val="18"/>
        </w:rPr>
        <w:t xml:space="preserve">Document:  </w:t>
      </w:r>
      <w:r>
        <w:rPr>
          <w:color w:val="2A2A45"/>
          <w:sz w:val="18"/>
          <w:szCs w:val="18"/>
        </w:rPr>
        <w:t xml:space="preserve">Rinnova Information Security Policy</w:t>
      </w:r>
    </w:p>
    <w:p>
      <w:pPr>
        <w:spacing w:after="40"/>
      </w:pPr>
      <w:r>
        <w:rPr>
          <w:b/>
          <w:bCs/>
          <w:color w:val="1A1A3A"/>
          <w:sz w:val="18"/>
          <w:szCs w:val="18"/>
        </w:rPr>
        <w:t xml:space="preserve">Version:  </w:t>
      </w:r>
      <w:r>
        <w:rPr>
          <w:color w:val="2A2A45"/>
          <w:sz w:val="18"/>
          <w:szCs w:val="18"/>
        </w:rPr>
        <w:t xml:space="preserve">1.0</w:t>
      </w:r>
    </w:p>
    <w:p>
      <w:pPr>
        <w:spacing w:after="40"/>
      </w:pPr>
      <w:r>
        <w:rPr>
          <w:b/>
          <w:bCs/>
          <w:color w:val="1A1A3A"/>
          <w:sz w:val="18"/>
          <w:szCs w:val="18"/>
        </w:rPr>
        <w:t xml:space="preserve">Effective Date:  </w:t>
      </w:r>
      <w:r>
        <w:rPr>
          <w:color w:val="2A2A45"/>
          <w:sz w:val="18"/>
          <w:szCs w:val="18"/>
        </w:rPr>
        <w:t xml:space="preserve">[Effective Date]</w:t>
      </w:r>
    </w:p>
    <w:p>
      <w:pPr>
        <w:spacing w:after="40"/>
      </w:pPr>
      <w:r>
        <w:rPr>
          <w:b/>
          <w:bCs/>
          <w:color w:val="1A1A3A"/>
          <w:sz w:val="18"/>
          <w:szCs w:val="18"/>
        </w:rPr>
        <w:t xml:space="preserve">Review Cycle:  </w:t>
      </w:r>
      <w:r>
        <w:rPr>
          <w:color w:val="2A2A45"/>
          <w:sz w:val="18"/>
          <w:szCs w:val="18"/>
        </w:rPr>
        <w:t xml:space="preserve">Annual</w:t>
      </w:r>
    </w:p>
    <w:p>
      <w:pPr>
        <w:spacing w:after="40"/>
      </w:pPr>
      <w:r>
        <w:rPr>
          <w:b/>
          <w:bCs/>
          <w:color w:val="1A1A3A"/>
          <w:sz w:val="18"/>
          <w:szCs w:val="18"/>
        </w:rPr>
        <w:t xml:space="preserve">Owner:  </w:t>
      </w:r>
      <w:r>
        <w:rPr>
          <w:color w:val="2A2A45"/>
          <w:sz w:val="18"/>
          <w:szCs w:val="18"/>
        </w:rPr>
        <w:t xml:space="preserve">Security Officer / Founder</w:t>
      </w:r>
    </w:p>
    <w:p>
      <w:pPr>
        <w:spacing w:after="40"/>
      </w:pPr>
      <w:r>
        <w:rPr>
          <w:b/>
          <w:bCs/>
          <w:color w:val="1A1A3A"/>
          <w:sz w:val="18"/>
          <w:szCs w:val="18"/>
        </w:rPr>
        <w:t xml:space="preserve">Approved By:  </w:t>
      </w:r>
      <w:r>
        <w:rPr>
          <w:color w:val="2A2A45"/>
          <w:sz w:val="18"/>
          <w:szCs w:val="18"/>
        </w:rPr>
        <w:t xml:space="preserve">[Founder Name]</w:t>
      </w:r>
    </w:p>
    <w:p>
      <w:pPr>
        <w:pBdr>
          <w:bottom w:val="single" w:color="CCCCCC" w:sz="6" w:space="6"/>
        </w:pBdr>
        <w:spacing w:after="240" w:before="120"/>
      </w:pPr>
      <w:r>
        <w:t xml:space="preserve"/>
      </w:r>
    </w:p>
    <w:p>
      <w:pPr>
        <w:keepNext/>
        <w:spacing w:after="160" w:before="320"/>
      </w:pPr>
      <w:r>
        <w:rPr>
          <w:b/>
          <w:bCs/>
          <w:color w:val="D63384"/>
          <w:sz w:val="24"/>
          <w:szCs w:val="24"/>
        </w:rPr>
        <w:t xml:space="preserve">1.  </w:t>
      </w:r>
      <w:r>
        <w:rPr>
          <w:b/>
          <w:bCs/>
          <w:color w:val="1A1A3A"/>
          <w:sz w:val="24"/>
          <w:szCs w:val="24"/>
        </w:rPr>
        <w:t xml:space="preserve">Purpose and Scope</w:t>
      </w:r>
    </w:p>
    <w:p>
      <w:pPr>
        <w:spacing w:after="160"/>
      </w:pPr>
      <w:r>
        <w:rPr>
          <w:color w:val="2A2A45"/>
        </w:rPr>
        <w:t xml:space="preserve">This Information Security Policy establishes the technical, administrative, and physical safeguards Tondo, Inc. (“Rinnova”) uses to protect the confidentiality, integrity, and availability of information systems and data, with particular focus on Protected Health Information (“PHI”).</w:t>
      </w:r>
    </w:p>
    <w:p>
      <w:pPr>
        <w:spacing w:after="160"/>
      </w:pPr>
      <w:r>
        <w:rPr>
          <w:color w:val="2A2A45"/>
        </w:rPr>
        <w:t xml:space="preserve">This policy applies to all workforce members, all systems owned or operated by Rinnova, and all third-party services used to process company or customer data.</w:t>
      </w:r>
    </w:p>
    <w:p>
      <w:pPr>
        <w:keepNext/>
        <w:spacing w:after="160" w:before="320"/>
      </w:pPr>
      <w:r>
        <w:rPr>
          <w:b/>
          <w:bCs/>
          <w:color w:val="D63384"/>
          <w:sz w:val="24"/>
          <w:szCs w:val="24"/>
        </w:rPr>
        <w:t xml:space="preserve">2.  </w:t>
      </w:r>
      <w:r>
        <w:rPr>
          <w:b/>
          <w:bCs/>
          <w:color w:val="1A1A3A"/>
          <w:sz w:val="24"/>
          <w:szCs w:val="24"/>
        </w:rPr>
        <w:t xml:space="preserve">Security Governance</w:t>
      </w:r>
    </w:p>
    <w:p>
      <w:pPr>
        <w:keepNext/>
        <w:spacing w:after="100" w:before="200"/>
        <w:ind w:left="360"/>
      </w:pPr>
      <w:r>
        <w:rPr>
          <w:b/>
          <w:bCs/>
          <w:color w:val="1A1A3A"/>
        </w:rPr>
        <w:t xml:space="preserve">a)  </w:t>
      </w:r>
      <w:r>
        <w:rPr>
          <w:b/>
          <w:bCs/>
          <w:color w:val="1A1A3A"/>
        </w:rPr>
        <w:t xml:space="preserve">Security Officer</w:t>
      </w:r>
    </w:p>
    <w:p>
      <w:pPr>
        <w:spacing w:after="160"/>
        <w:ind w:left="360"/>
      </w:pPr>
      <w:r>
        <w:rPr>
          <w:color w:val="2A2A45"/>
        </w:rPr>
        <w:t xml:space="preserve">The designated Security Officer (initially the Founder/CEO until a dedicated hire is made) is responsible for developing, implementing, and enforcing this policy; conducting annual risk assessments; overseeing incident response; and reporting to leadership on security posture.</w:t>
      </w:r>
    </w:p>
    <w:p>
      <w:pPr>
        <w:keepNext/>
        <w:spacing w:after="100" w:before="200"/>
        <w:ind w:left="360"/>
      </w:pPr>
      <w:r>
        <w:rPr>
          <w:b/>
          <w:bCs/>
          <w:color w:val="1A1A3A"/>
        </w:rPr>
        <w:t xml:space="preserve">b)  </w:t>
      </w:r>
      <w:r>
        <w:rPr>
          <w:b/>
          <w:bCs/>
          <w:color w:val="1A1A3A"/>
        </w:rPr>
        <w:t xml:space="preserve">Risk Assessment</w:t>
      </w:r>
    </w:p>
    <w:p>
      <w:pPr>
        <w:spacing w:after="160"/>
        <w:ind w:left="360"/>
      </w:pPr>
      <w:r>
        <w:rPr>
          <w:color w:val="2A2A45"/>
        </w:rPr>
        <w:t xml:space="preserve">A formal risk assessment is conducted at least annually and whenever material changes occur (new products, new vendors handling PHI, major architectural changes). Findings and remediation plans are documented and tracked to completion.</w:t>
      </w:r>
    </w:p>
    <w:p>
      <w:pPr>
        <w:keepNext/>
        <w:spacing w:after="100" w:before="200"/>
        <w:ind w:left="360"/>
      </w:pPr>
      <w:r>
        <w:rPr>
          <w:b/>
          <w:bCs/>
          <w:color w:val="1A1A3A"/>
        </w:rPr>
        <w:t xml:space="preserve">c)  </w:t>
      </w:r>
      <w:r>
        <w:rPr>
          <w:b/>
          <w:bCs/>
          <w:color w:val="1A1A3A"/>
        </w:rPr>
        <w:t xml:space="preserve">Policy Review</w:t>
      </w:r>
    </w:p>
    <w:p>
      <w:pPr>
        <w:spacing w:after="160"/>
        <w:ind w:left="360"/>
      </w:pPr>
      <w:r>
        <w:rPr>
          <w:color w:val="2A2A45"/>
        </w:rPr>
        <w:t xml:space="preserve">This policy is reviewed at least annually and updated to reflect changes in regulations, threats, technology, or business operations.</w:t>
      </w:r>
    </w:p>
    <w:p>
      <w:pPr>
        <w:keepNext/>
        <w:spacing w:after="160" w:before="320"/>
      </w:pPr>
      <w:r>
        <w:rPr>
          <w:b/>
          <w:bCs/>
          <w:color w:val="D63384"/>
          <w:sz w:val="24"/>
          <w:szCs w:val="24"/>
        </w:rPr>
        <w:t xml:space="preserve">3.  </w:t>
      </w:r>
      <w:r>
        <w:rPr>
          <w:b/>
          <w:bCs/>
          <w:color w:val="1A1A3A"/>
          <w:sz w:val="24"/>
          <w:szCs w:val="24"/>
        </w:rPr>
        <w:t xml:space="preserve">Access Control</w:t>
      </w:r>
    </w:p>
    <w:p>
      <w:pPr>
        <w:keepNext/>
        <w:spacing w:after="100" w:before="200"/>
        <w:ind w:left="360"/>
      </w:pPr>
      <w:r>
        <w:rPr>
          <w:b/>
          <w:bCs/>
          <w:color w:val="1A1A3A"/>
        </w:rPr>
        <w:t xml:space="preserve">a)  </w:t>
      </w:r>
      <w:r>
        <w:rPr>
          <w:b/>
          <w:bCs/>
          <w:color w:val="1A1A3A"/>
        </w:rPr>
        <w:t xml:space="preserve">Principle of Least Privilege</w:t>
      </w:r>
    </w:p>
    <w:p>
      <w:pPr>
        <w:spacing w:after="160"/>
        <w:ind w:left="360"/>
      </w:pPr>
      <w:r>
        <w:rPr>
          <w:color w:val="2A2A45"/>
        </w:rPr>
        <w:t xml:space="preserve">Access to systems and data is granted based on the minimum privilege required to perform assigned duties. Access is reviewed at least quarterly.</w:t>
      </w:r>
    </w:p>
    <w:p>
      <w:pPr>
        <w:keepNext/>
        <w:spacing w:after="100" w:before="200"/>
        <w:ind w:left="360"/>
      </w:pPr>
      <w:r>
        <w:rPr>
          <w:b/>
          <w:bCs/>
          <w:color w:val="1A1A3A"/>
        </w:rPr>
        <w:t xml:space="preserve">b)  </w:t>
      </w:r>
      <w:r>
        <w:rPr>
          <w:b/>
          <w:bCs/>
          <w:color w:val="1A1A3A"/>
        </w:rPr>
        <w:t xml:space="preserve">User Authentication</w:t>
      </w:r>
    </w:p>
    <w:p>
      <w:pPr>
        <w:spacing w:after="160"/>
        <w:ind w:left="360"/>
      </w:pPr>
      <w:r>
        <w:rPr>
          <w:color w:val="2A2A45"/>
        </w:rPr>
        <w:t xml:space="preserve">All workforce members are issued unique user accounts. Shared accounts are prohibited. Authentication requires strong passwords (minimum 12 characters, no reuse across systems) and multi-factor authentication (MFA) for any system accessing PHI or production infrastructure.</w:t>
      </w:r>
    </w:p>
    <w:p>
      <w:pPr>
        <w:keepNext/>
        <w:spacing w:after="100" w:before="200"/>
        <w:ind w:left="360"/>
      </w:pPr>
      <w:r>
        <w:rPr>
          <w:b/>
          <w:bCs/>
          <w:color w:val="1A1A3A"/>
        </w:rPr>
        <w:t xml:space="preserve">c)  </w:t>
      </w:r>
      <w:r>
        <w:rPr>
          <w:b/>
          <w:bCs/>
          <w:color w:val="1A1A3A"/>
        </w:rPr>
        <w:t xml:space="preserve">Access Provisioning</w:t>
      </w:r>
    </w:p>
    <w:p>
      <w:pPr>
        <w:spacing w:after="160"/>
        <w:ind w:left="360"/>
      </w:pPr>
      <w:r>
        <w:rPr>
          <w:color w:val="2A2A45"/>
        </w:rPr>
        <w:t xml:space="preserve">New access requests require documented approval from the Security Officer. Access is provisioned from a standardized role template aligned with job function.</w:t>
      </w:r>
    </w:p>
    <w:p>
      <w:pPr>
        <w:keepNext/>
        <w:spacing w:after="100" w:before="200"/>
        <w:ind w:left="360"/>
      </w:pPr>
      <w:r>
        <w:rPr>
          <w:b/>
          <w:bCs/>
          <w:color w:val="1A1A3A"/>
        </w:rPr>
        <w:t xml:space="preserve">d)  </w:t>
      </w:r>
      <w:r>
        <w:rPr>
          <w:b/>
          <w:bCs/>
          <w:color w:val="1A1A3A"/>
        </w:rPr>
        <w:t xml:space="preserve">Access Deprovisioning</w:t>
      </w:r>
    </w:p>
    <w:p>
      <w:pPr>
        <w:spacing w:after="160"/>
        <w:ind w:left="360"/>
      </w:pPr>
      <w:r>
        <w:rPr>
          <w:color w:val="2A2A45"/>
        </w:rPr>
        <w:t xml:space="preserve">Access is revoked within 24 hours of termination, role change, or when access is no longer needed. Deprovisioning includes revoking SSO, MFA tokens, API keys, and any shared credentials.</w:t>
      </w:r>
    </w:p>
    <w:p>
      <w:pPr>
        <w:keepNext/>
        <w:spacing w:after="100" w:before="200"/>
        <w:ind w:left="360"/>
      </w:pPr>
      <w:r>
        <w:rPr>
          <w:b/>
          <w:bCs/>
          <w:color w:val="1A1A3A"/>
        </w:rPr>
        <w:t xml:space="preserve">e)  </w:t>
      </w:r>
      <w:r>
        <w:rPr>
          <w:b/>
          <w:bCs/>
          <w:color w:val="1A1A3A"/>
        </w:rPr>
        <w:t xml:space="preserve">Privileged Access</w:t>
      </w:r>
    </w:p>
    <w:p>
      <w:pPr>
        <w:spacing w:after="160"/>
        <w:ind w:left="360"/>
      </w:pPr>
      <w:r>
        <w:rPr>
          <w:color w:val="2A2A45"/>
        </w:rPr>
        <w:t xml:space="preserve">Administrative or production-level access is limited to a minimal number of workforce members, logged in detail, and reviewed monthly.</w:t>
      </w:r>
    </w:p>
    <w:p>
      <w:pPr>
        <w:keepNext/>
        <w:spacing w:after="160" w:before="320"/>
      </w:pPr>
      <w:r>
        <w:rPr>
          <w:b/>
          <w:bCs/>
          <w:color w:val="D63384"/>
          <w:sz w:val="24"/>
          <w:szCs w:val="24"/>
        </w:rPr>
        <w:t xml:space="preserve">4.  </w:t>
      </w:r>
      <w:r>
        <w:rPr>
          <w:b/>
          <w:bCs/>
          <w:color w:val="1A1A3A"/>
          <w:sz w:val="24"/>
          <w:szCs w:val="24"/>
        </w:rPr>
        <w:t xml:space="preserve">Encryption</w:t>
      </w:r>
    </w:p>
    <w:p>
      <w:pPr>
        <w:keepNext/>
        <w:spacing w:after="100" w:before="200"/>
        <w:ind w:left="360"/>
      </w:pPr>
      <w:r>
        <w:rPr>
          <w:b/>
          <w:bCs/>
          <w:color w:val="1A1A3A"/>
        </w:rPr>
        <w:t xml:space="preserve">a)  </w:t>
      </w:r>
      <w:r>
        <w:rPr>
          <w:b/>
          <w:bCs/>
          <w:color w:val="1A1A3A"/>
        </w:rPr>
        <w:t xml:space="preserve">Data in Transit</w:t>
      </w:r>
    </w:p>
    <w:p>
      <w:pPr>
        <w:spacing w:after="160"/>
        <w:ind w:left="360"/>
      </w:pPr>
      <w:r>
        <w:rPr>
          <w:color w:val="2A2A45"/>
        </w:rPr>
        <w:t xml:space="preserve">All PHI transmitted over public networks is encrypted using TLS 1.2 or higher. Plaintext protocols (HTTP, FTP, Telnet) are prohibited for any PHI-bearing traffic.</w:t>
      </w:r>
    </w:p>
    <w:p>
      <w:pPr>
        <w:keepNext/>
        <w:spacing w:after="100" w:before="200"/>
        <w:ind w:left="360"/>
      </w:pPr>
      <w:r>
        <w:rPr>
          <w:b/>
          <w:bCs/>
          <w:color w:val="1A1A3A"/>
        </w:rPr>
        <w:t xml:space="preserve">b)  </w:t>
      </w:r>
      <w:r>
        <w:rPr>
          <w:b/>
          <w:bCs/>
          <w:color w:val="1A1A3A"/>
        </w:rPr>
        <w:t xml:space="preserve">Data at Rest</w:t>
      </w:r>
    </w:p>
    <w:p>
      <w:pPr>
        <w:spacing w:after="160"/>
        <w:ind w:left="360"/>
      </w:pPr>
      <w:r>
        <w:rPr>
          <w:color w:val="2A2A45"/>
        </w:rPr>
        <w:t xml:space="preserve">All PHI at rest — in databases, object storage, backups, and workforce devices — is encrypted using AES-256 or equivalent. Encryption keys are managed by the cloud provider or a dedicated key management service with access restricted to authorized personnel.</w:t>
      </w:r>
    </w:p>
    <w:p>
      <w:pPr>
        <w:keepNext/>
        <w:spacing w:after="100" w:before="200"/>
        <w:ind w:left="360"/>
      </w:pPr>
      <w:r>
        <w:rPr>
          <w:b/>
          <w:bCs/>
          <w:color w:val="1A1A3A"/>
        </w:rPr>
        <w:t xml:space="preserve">c)  </w:t>
      </w:r>
      <w:r>
        <w:rPr>
          <w:b/>
          <w:bCs/>
          <w:color w:val="1A1A3A"/>
        </w:rPr>
        <w:t xml:space="preserve">Device Encryption</w:t>
      </w:r>
    </w:p>
    <w:p>
      <w:pPr>
        <w:spacing w:after="160"/>
        <w:ind w:left="360"/>
      </w:pPr>
      <w:r>
        <w:rPr>
          <w:color w:val="2A2A45"/>
        </w:rPr>
        <w:t xml:space="preserve">All workforce laptops and mobile devices that access Rinnova systems must have full-disk encryption enabled (FileVault on macOS, BitLocker on Windows, equivalent on Linux).</w:t>
      </w:r>
    </w:p>
    <w:p>
      <w:pPr>
        <w:keepNext/>
        <w:spacing w:after="160" w:before="320"/>
      </w:pPr>
      <w:r>
        <w:rPr>
          <w:b/>
          <w:bCs/>
          <w:color w:val="D63384"/>
          <w:sz w:val="24"/>
          <w:szCs w:val="24"/>
        </w:rPr>
        <w:t xml:space="preserve">5.  </w:t>
      </w:r>
      <w:r>
        <w:rPr>
          <w:b/>
          <w:bCs/>
          <w:color w:val="1A1A3A"/>
          <w:sz w:val="24"/>
          <w:szCs w:val="24"/>
        </w:rPr>
        <w:t xml:space="preserve">Network and Infrastructure Security</w:t>
      </w:r>
    </w:p>
    <w:p>
      <w:pPr>
        <w:pStyle w:val="ListParagraph"/>
        <w:numPr>
          <w:ilvl w:val="0"/>
          <w:numId w:val="2"/>
        </w:numPr>
        <w:spacing w:after="120"/>
      </w:pPr>
      <w:r>
        <w:rPr>
          <w:b/>
          <w:bCs/>
          <w:color w:val="1A1A3A"/>
        </w:rPr>
        <w:t xml:space="preserve">Firewall rules</w:t>
      </w:r>
      <w:r>
        <w:rPr>
          <w:color w:val="2A2A45"/>
        </w:rPr>
        <w:t xml:space="preserve"> follow the principle of default-deny, with explicitly allowed inbound and outbound traffic.</w:t>
      </w:r>
    </w:p>
    <w:p>
      <w:pPr>
        <w:pStyle w:val="ListParagraph"/>
        <w:numPr>
          <w:ilvl w:val="0"/>
          <w:numId w:val="2"/>
        </w:numPr>
        <w:spacing w:after="120"/>
      </w:pPr>
      <w:r>
        <w:rPr>
          <w:b/>
          <w:bCs/>
          <w:color w:val="1A1A3A"/>
        </w:rPr>
        <w:t xml:space="preserve">Production infrastructure</w:t>
      </w:r>
      <w:r>
        <w:rPr>
          <w:color w:val="2A2A45"/>
        </w:rPr>
        <w:t xml:space="preserve"> is isolated from development and staging environments. No real PHI exists outside of production.</w:t>
      </w:r>
    </w:p>
    <w:p>
      <w:pPr>
        <w:pStyle w:val="ListParagraph"/>
        <w:numPr>
          <w:ilvl w:val="0"/>
          <w:numId w:val="2"/>
        </w:numPr>
        <w:spacing w:after="120"/>
      </w:pPr>
      <w:r>
        <w:rPr>
          <w:b/>
          <w:bCs/>
          <w:color w:val="1A1A3A"/>
        </w:rPr>
        <w:t xml:space="preserve">Public endpoints</w:t>
      </w:r>
      <w:r>
        <w:rPr>
          <w:color w:val="2A2A45"/>
        </w:rPr>
        <w:t xml:space="preserve"> are protected by a Web Application Firewall (WAF) and rate limiting.</w:t>
      </w:r>
    </w:p>
    <w:p>
      <w:pPr>
        <w:pStyle w:val="ListParagraph"/>
        <w:numPr>
          <w:ilvl w:val="0"/>
          <w:numId w:val="2"/>
        </w:numPr>
        <w:spacing w:after="120"/>
      </w:pPr>
      <w:r>
        <w:rPr>
          <w:b/>
          <w:bCs/>
          <w:color w:val="1A1A3A"/>
        </w:rPr>
        <w:t xml:space="preserve">VPN or bastion access</w:t>
      </w:r>
      <w:r>
        <w:rPr>
          <w:color w:val="2A2A45"/>
        </w:rPr>
        <w:t xml:space="preserve"> is required for any direct administrative access to production systems.</w:t>
      </w:r>
    </w:p>
    <w:p>
      <w:pPr>
        <w:pStyle w:val="ListParagraph"/>
        <w:numPr>
          <w:ilvl w:val="0"/>
          <w:numId w:val="2"/>
        </w:numPr>
        <w:spacing w:after="120"/>
      </w:pPr>
      <w:r>
        <w:rPr>
          <w:b/>
          <w:bCs/>
          <w:color w:val="1A1A3A"/>
        </w:rPr>
        <w:t xml:space="preserve">Patching</w:t>
      </w:r>
      <w:r>
        <w:rPr>
          <w:color w:val="2A2A45"/>
        </w:rPr>
        <w:t xml:space="preserve"> of operating systems, containers, and dependencies occurs on a regular schedule; critical security patches are applied within 72 hours of release.</w:t>
      </w:r>
    </w:p>
    <w:p>
      <w:pPr>
        <w:keepNext/>
        <w:spacing w:after="160" w:before="320"/>
      </w:pPr>
      <w:r>
        <w:rPr>
          <w:b/>
          <w:bCs/>
          <w:color w:val="D63384"/>
          <w:sz w:val="24"/>
          <w:szCs w:val="24"/>
        </w:rPr>
        <w:t xml:space="preserve">6.  </w:t>
      </w:r>
      <w:r>
        <w:rPr>
          <w:b/>
          <w:bCs/>
          <w:color w:val="1A1A3A"/>
          <w:sz w:val="24"/>
          <w:szCs w:val="24"/>
        </w:rPr>
        <w:t xml:space="preserve">Logging and Monitoring</w:t>
      </w:r>
    </w:p>
    <w:p>
      <w:pPr>
        <w:spacing w:after="160"/>
      </w:pPr>
      <w:r>
        <w:rPr>
          <w:color w:val="2A2A45"/>
        </w:rPr>
        <w:t xml:space="preserve">The following events are logged, retained for a minimum of six (6) years, and reviewed regularly:</w:t>
      </w:r>
    </w:p>
    <w:p>
      <w:pPr>
        <w:pStyle w:val="ListParagraph"/>
        <w:numPr>
          <w:ilvl w:val="0"/>
          <w:numId w:val="2"/>
        </w:numPr>
        <w:spacing w:after="120"/>
      </w:pPr>
      <w:r>
        <w:rPr>
          <w:color w:val="2A2A45"/>
        </w:rPr>
        <w:t xml:space="preserve">All access to PHI, including reads, writes, and exports.</w:t>
      </w:r>
    </w:p>
    <w:p>
      <w:pPr>
        <w:pStyle w:val="ListParagraph"/>
        <w:numPr>
          <w:ilvl w:val="0"/>
          <w:numId w:val="2"/>
        </w:numPr>
        <w:spacing w:after="120"/>
      </w:pPr>
      <w:r>
        <w:rPr>
          <w:color w:val="2A2A45"/>
        </w:rPr>
        <w:t xml:space="preserve">Authentication events — successful logins, failures, MFA challenges.</w:t>
      </w:r>
    </w:p>
    <w:p>
      <w:pPr>
        <w:pStyle w:val="ListParagraph"/>
        <w:numPr>
          <w:ilvl w:val="0"/>
          <w:numId w:val="2"/>
        </w:numPr>
        <w:spacing w:after="120"/>
      </w:pPr>
      <w:r>
        <w:rPr>
          <w:color w:val="2A2A45"/>
        </w:rPr>
        <w:t xml:space="preserve">Administrative actions — user provisioning, permission changes, configuration changes.</w:t>
      </w:r>
    </w:p>
    <w:p>
      <w:pPr>
        <w:pStyle w:val="ListParagraph"/>
        <w:numPr>
          <w:ilvl w:val="0"/>
          <w:numId w:val="2"/>
        </w:numPr>
        <w:spacing w:after="120"/>
      </w:pPr>
      <w:r>
        <w:rPr>
          <w:color w:val="2A2A45"/>
        </w:rPr>
        <w:t xml:space="preserve">System events — failed jobs, crashes, unusual traffic patterns.</w:t>
      </w:r>
    </w:p>
    <w:p>
      <w:pPr>
        <w:spacing w:after="160"/>
      </w:pPr>
      <w:r>
        <w:rPr>
          <w:color w:val="2A2A45"/>
        </w:rPr>
        <w:t xml:space="preserve">Automated alerts are configured for high-risk events (e.g., unauthorized access attempts, bulk PHI exports, privileged access use). Alerts are triaged within one business day.</w:t>
      </w:r>
    </w:p>
    <w:p>
      <w:pPr>
        <w:keepNext/>
        <w:spacing w:after="160" w:before="320"/>
      </w:pPr>
      <w:r>
        <w:rPr>
          <w:b/>
          <w:bCs/>
          <w:color w:val="D63384"/>
          <w:sz w:val="24"/>
          <w:szCs w:val="24"/>
        </w:rPr>
        <w:t xml:space="preserve">7.  </w:t>
      </w:r>
      <w:r>
        <w:rPr>
          <w:b/>
          <w:bCs/>
          <w:color w:val="1A1A3A"/>
          <w:sz w:val="24"/>
          <w:szCs w:val="24"/>
        </w:rPr>
        <w:t xml:space="preserve">Third-Party and Vendor Management</w:t>
      </w:r>
    </w:p>
    <w:p>
      <w:pPr>
        <w:spacing w:after="160"/>
      </w:pPr>
      <w:r>
        <w:rPr>
          <w:color w:val="2A2A45"/>
        </w:rPr>
        <w:t xml:space="preserve">Before engaging any vendor that will process, store, or transmit PHI, Rinnova requires:</w:t>
      </w:r>
    </w:p>
    <w:p>
      <w:pPr>
        <w:pStyle w:val="ListParagraph"/>
        <w:numPr>
          <w:ilvl w:val="0"/>
          <w:numId w:val="2"/>
        </w:numPr>
        <w:spacing w:after="120"/>
      </w:pPr>
      <w:r>
        <w:rPr>
          <w:color w:val="2A2A45"/>
        </w:rPr>
        <w:t xml:space="preserve">An executed Business Associate Agreement (BAA).</w:t>
      </w:r>
    </w:p>
    <w:p>
      <w:pPr>
        <w:pStyle w:val="ListParagraph"/>
        <w:numPr>
          <w:ilvl w:val="0"/>
          <w:numId w:val="2"/>
        </w:numPr>
        <w:spacing w:after="120"/>
      </w:pPr>
      <w:r>
        <w:rPr>
          <w:color w:val="2A2A45"/>
        </w:rPr>
        <w:t xml:space="preserve">Evidence of the vendor’s compliance posture (SOC 2, HIPAA, or equivalent documentation).</w:t>
      </w:r>
    </w:p>
    <w:p>
      <w:pPr>
        <w:pStyle w:val="ListParagraph"/>
        <w:numPr>
          <w:ilvl w:val="0"/>
          <w:numId w:val="2"/>
        </w:numPr>
        <w:spacing w:after="120"/>
      </w:pPr>
      <w:r>
        <w:rPr>
          <w:color w:val="2A2A45"/>
        </w:rPr>
        <w:t xml:space="preserve">Documented justification of business need.</w:t>
      </w:r>
    </w:p>
    <w:p>
      <w:pPr>
        <w:pStyle w:val="ListParagraph"/>
        <w:numPr>
          <w:ilvl w:val="0"/>
          <w:numId w:val="2"/>
        </w:numPr>
        <w:spacing w:after="120"/>
      </w:pPr>
      <w:r>
        <w:rPr>
          <w:color w:val="2A2A45"/>
        </w:rPr>
        <w:t xml:space="preserve">Security review by the Security Officer.</w:t>
      </w:r>
    </w:p>
    <w:p>
      <w:pPr>
        <w:spacing w:after="160"/>
      </w:pPr>
      <w:r>
        <w:rPr>
          <w:color w:val="2A2A45"/>
        </w:rPr>
        <w:t xml:space="preserve">A vendor inventory is maintained. Vendor compliance documentation is refreshed annually, or immediately if a vendor reports a material incident.</w:t>
      </w:r>
    </w:p>
    <w:p>
      <w:pPr>
        <w:keepNext/>
        <w:spacing w:after="160" w:before="320"/>
      </w:pPr>
      <w:r>
        <w:rPr>
          <w:b/>
          <w:bCs/>
          <w:color w:val="D63384"/>
          <w:sz w:val="24"/>
          <w:szCs w:val="24"/>
        </w:rPr>
        <w:t xml:space="preserve">8.  </w:t>
      </w:r>
      <w:r>
        <w:rPr>
          <w:b/>
          <w:bCs/>
          <w:color w:val="1A1A3A"/>
          <w:sz w:val="24"/>
          <w:szCs w:val="24"/>
        </w:rPr>
        <w:t xml:space="preserve">Secure Software Development</w:t>
      </w:r>
    </w:p>
    <w:p>
      <w:pPr>
        <w:pStyle w:val="ListParagraph"/>
        <w:numPr>
          <w:ilvl w:val="0"/>
          <w:numId w:val="2"/>
        </w:numPr>
        <w:spacing w:after="120"/>
      </w:pPr>
      <w:r>
        <w:rPr>
          <w:b/>
          <w:bCs/>
          <w:color w:val="1A1A3A"/>
        </w:rPr>
        <w:t xml:space="preserve">Code review: </w:t>
      </w:r>
      <w:r>
        <w:rPr>
          <w:color w:val="2A2A45"/>
        </w:rPr>
        <w:t xml:space="preserve">All code changes require review by at least one other qualified person before merging to production.</w:t>
      </w:r>
    </w:p>
    <w:p>
      <w:pPr>
        <w:pStyle w:val="ListParagraph"/>
        <w:numPr>
          <w:ilvl w:val="0"/>
          <w:numId w:val="2"/>
        </w:numPr>
        <w:spacing w:after="120"/>
      </w:pPr>
      <w:r>
        <w:rPr>
          <w:b/>
          <w:bCs/>
          <w:color w:val="1A1A3A"/>
        </w:rPr>
        <w:t xml:space="preserve">Dependency management: </w:t>
      </w:r>
      <w:r>
        <w:rPr>
          <w:color w:val="2A2A45"/>
        </w:rPr>
        <w:t xml:space="preserve">Automated vulnerability scanning of third-party dependencies. Critical vulnerabilities are remediated within 7 days; high within 30 days.</w:t>
      </w:r>
    </w:p>
    <w:p>
      <w:pPr>
        <w:pStyle w:val="ListParagraph"/>
        <w:numPr>
          <w:ilvl w:val="0"/>
          <w:numId w:val="2"/>
        </w:numPr>
        <w:spacing w:after="120"/>
      </w:pPr>
      <w:r>
        <w:rPr>
          <w:b/>
          <w:bCs/>
          <w:color w:val="1A1A3A"/>
        </w:rPr>
        <w:t xml:space="preserve">Secrets management: </w:t>
      </w:r>
      <w:r>
        <w:rPr>
          <w:color w:val="2A2A45"/>
        </w:rPr>
        <w:t xml:space="preserve">Credentials, API keys, and other secrets are stored in a dedicated secrets manager. Hardcoded secrets in code are prohibited.</w:t>
      </w:r>
    </w:p>
    <w:p>
      <w:pPr>
        <w:pStyle w:val="ListParagraph"/>
        <w:numPr>
          <w:ilvl w:val="0"/>
          <w:numId w:val="2"/>
        </w:numPr>
        <w:spacing w:after="120"/>
      </w:pPr>
      <w:r>
        <w:rPr>
          <w:b/>
          <w:bCs/>
          <w:color w:val="1A1A3A"/>
        </w:rPr>
        <w:t xml:space="preserve">Environment isolation: </w:t>
      </w:r>
      <w:r>
        <w:rPr>
          <w:color w:val="2A2A45"/>
        </w:rPr>
        <w:t xml:space="preserve">Development, staging, and production environments are fully isolated. Production data is never used in non-production environments.</w:t>
      </w:r>
    </w:p>
    <w:p>
      <w:pPr>
        <w:pStyle w:val="ListParagraph"/>
        <w:numPr>
          <w:ilvl w:val="0"/>
          <w:numId w:val="2"/>
        </w:numPr>
        <w:spacing w:after="120"/>
      </w:pPr>
      <w:r>
        <w:rPr>
          <w:b/>
          <w:bCs/>
          <w:color w:val="1A1A3A"/>
        </w:rPr>
        <w:t xml:space="preserve">Security testing: </w:t>
      </w:r>
      <w:r>
        <w:rPr>
          <w:color w:val="2A2A45"/>
        </w:rPr>
        <w:t xml:space="preserve">Static analysis (SAST) runs on every build. Annual penetration testing by a qualified third party.</w:t>
      </w:r>
    </w:p>
    <w:p>
      <w:pPr>
        <w:keepNext/>
        <w:spacing w:after="160" w:before="320"/>
      </w:pPr>
      <w:r>
        <w:rPr>
          <w:b/>
          <w:bCs/>
          <w:color w:val="D63384"/>
          <w:sz w:val="24"/>
          <w:szCs w:val="24"/>
        </w:rPr>
        <w:t xml:space="preserve">9.  </w:t>
      </w:r>
      <w:r>
        <w:rPr>
          <w:b/>
          <w:bCs/>
          <w:color w:val="1A1A3A"/>
          <w:sz w:val="24"/>
          <w:szCs w:val="24"/>
        </w:rPr>
        <w:t xml:space="preserve">Backup and Recovery</w:t>
      </w:r>
    </w:p>
    <w:p>
      <w:pPr>
        <w:pStyle w:val="ListParagraph"/>
        <w:numPr>
          <w:ilvl w:val="0"/>
          <w:numId w:val="2"/>
        </w:numPr>
        <w:spacing w:after="120"/>
      </w:pPr>
      <w:r>
        <w:rPr>
          <w:b/>
          <w:bCs/>
          <w:color w:val="1A1A3A"/>
        </w:rPr>
        <w:t xml:space="preserve">Automated backups</w:t>
      </w:r>
      <w:r>
        <w:rPr>
          <w:color w:val="2A2A45"/>
        </w:rPr>
        <w:t xml:space="preserve"> of all PHI-containing databases run at least daily.</w:t>
      </w:r>
    </w:p>
    <w:p>
      <w:pPr>
        <w:pStyle w:val="ListParagraph"/>
        <w:numPr>
          <w:ilvl w:val="0"/>
          <w:numId w:val="2"/>
        </w:numPr>
        <w:spacing w:after="120"/>
      </w:pPr>
      <w:r>
        <w:rPr>
          <w:b/>
          <w:bCs/>
          <w:color w:val="1A1A3A"/>
        </w:rPr>
        <w:t xml:space="preserve">Backup encryption</w:t>
      </w:r>
      <w:r>
        <w:rPr>
          <w:color w:val="2A2A45"/>
        </w:rPr>
        <w:t xml:space="preserve"> at rest, equivalent to primary data.</w:t>
      </w:r>
    </w:p>
    <w:p>
      <w:pPr>
        <w:pStyle w:val="ListParagraph"/>
        <w:numPr>
          <w:ilvl w:val="0"/>
          <w:numId w:val="2"/>
        </w:numPr>
        <w:spacing w:after="120"/>
      </w:pPr>
      <w:r>
        <w:rPr>
          <w:b/>
          <w:bCs/>
          <w:color w:val="1A1A3A"/>
        </w:rPr>
        <w:t xml:space="preserve">Retention: </w:t>
      </w:r>
      <w:r>
        <w:rPr>
          <w:color w:val="2A2A45"/>
        </w:rPr>
        <w:t xml:space="preserve">Backups are retained for a minimum of 30 days, with select snapshots retained longer per the Data Retention Policy.</w:t>
      </w:r>
    </w:p>
    <w:p>
      <w:pPr>
        <w:pStyle w:val="ListParagraph"/>
        <w:numPr>
          <w:ilvl w:val="0"/>
          <w:numId w:val="2"/>
        </w:numPr>
        <w:spacing w:after="120"/>
      </w:pPr>
      <w:r>
        <w:rPr>
          <w:b/>
          <w:bCs/>
          <w:color w:val="1A1A3A"/>
        </w:rPr>
        <w:t xml:space="preserve">Restoration testing</w:t>
      </w:r>
      <w:r>
        <w:rPr>
          <w:color w:val="2A2A45"/>
        </w:rPr>
        <w:t xml:space="preserve"> is performed at least quarterly to verify backup integrity and recovery time objectives.</w:t>
      </w:r>
    </w:p>
    <w:p>
      <w:pPr>
        <w:pStyle w:val="ListParagraph"/>
        <w:numPr>
          <w:ilvl w:val="0"/>
          <w:numId w:val="2"/>
        </w:numPr>
        <w:spacing w:after="120"/>
      </w:pPr>
      <w:r>
        <w:rPr>
          <w:b/>
          <w:bCs/>
          <w:color w:val="1A1A3A"/>
        </w:rPr>
        <w:t xml:space="preserve">Disaster Recovery Plan: </w:t>
      </w:r>
      <w:r>
        <w:rPr>
          <w:color w:val="2A2A45"/>
        </w:rPr>
        <w:t xml:space="preserve">Recovery Time Objective (RTO) of 24 hours and Recovery Point Objective (RPO) of 24 hours for PHI-containing systems.</w:t>
      </w:r>
    </w:p>
    <w:p>
      <w:pPr>
        <w:keepNext/>
        <w:spacing w:after="160" w:before="320"/>
      </w:pPr>
      <w:r>
        <w:rPr>
          <w:b/>
          <w:bCs/>
          <w:color w:val="D63384"/>
          <w:sz w:val="24"/>
          <w:szCs w:val="24"/>
        </w:rPr>
        <w:t xml:space="preserve">10.  </w:t>
      </w:r>
      <w:r>
        <w:rPr>
          <w:b/>
          <w:bCs/>
          <w:color w:val="1A1A3A"/>
          <w:sz w:val="24"/>
          <w:szCs w:val="24"/>
        </w:rPr>
        <w:t xml:space="preserve">Workforce Security</w:t>
      </w:r>
    </w:p>
    <w:p>
      <w:pPr>
        <w:pStyle w:val="ListParagraph"/>
        <w:numPr>
          <w:ilvl w:val="0"/>
          <w:numId w:val="2"/>
        </w:numPr>
        <w:spacing w:after="120"/>
      </w:pPr>
      <w:r>
        <w:rPr>
          <w:b/>
          <w:bCs/>
          <w:color w:val="1A1A3A"/>
        </w:rPr>
        <w:t xml:space="preserve">Background checks</w:t>
      </w:r>
      <w:r>
        <w:rPr>
          <w:color w:val="2A2A45"/>
        </w:rPr>
        <w:t xml:space="preserve"> for all workforce members with access to PHI, subject to applicable law.</w:t>
      </w:r>
    </w:p>
    <w:p>
      <w:pPr>
        <w:pStyle w:val="ListParagraph"/>
        <w:numPr>
          <w:ilvl w:val="0"/>
          <w:numId w:val="2"/>
        </w:numPr>
        <w:spacing w:after="120"/>
      </w:pPr>
      <w:r>
        <w:rPr>
          <w:b/>
          <w:bCs/>
          <w:color w:val="1A1A3A"/>
        </w:rPr>
        <w:t xml:space="preserve">Signed confidentiality agreement</w:t>
      </w:r>
      <w:r>
        <w:rPr>
          <w:color w:val="2A2A45"/>
        </w:rPr>
        <w:t xml:space="preserve"> before access is granted.</w:t>
      </w:r>
    </w:p>
    <w:p>
      <w:pPr>
        <w:pStyle w:val="ListParagraph"/>
        <w:numPr>
          <w:ilvl w:val="0"/>
          <w:numId w:val="2"/>
        </w:numPr>
        <w:spacing w:after="120"/>
      </w:pPr>
      <w:r>
        <w:rPr>
          <w:b/>
          <w:bCs/>
          <w:color w:val="1A1A3A"/>
        </w:rPr>
        <w:t xml:space="preserve">Security training</w:t>
      </w:r>
      <w:r>
        <w:rPr>
          <w:color w:val="2A2A45"/>
        </w:rPr>
        <w:t xml:space="preserve"> completed within 30 days of hire and annually thereafter.</w:t>
      </w:r>
    </w:p>
    <w:p>
      <w:pPr>
        <w:pStyle w:val="ListParagraph"/>
        <w:numPr>
          <w:ilvl w:val="0"/>
          <w:numId w:val="2"/>
        </w:numPr>
        <w:spacing w:after="120"/>
      </w:pPr>
      <w:r>
        <w:rPr>
          <w:b/>
          <w:bCs/>
          <w:color w:val="1A1A3A"/>
        </w:rPr>
        <w:t xml:space="preserve">Clean-desk expectations</w:t>
      </w:r>
      <w:r>
        <w:rPr>
          <w:color w:val="2A2A45"/>
        </w:rPr>
        <w:t xml:space="preserve"> — no PHI printed or displayed where it can be observed by unauthorized persons.</w:t>
      </w:r>
    </w:p>
    <w:p>
      <w:pPr>
        <w:keepNext/>
        <w:spacing w:after="160" w:before="320"/>
      </w:pPr>
      <w:r>
        <w:rPr>
          <w:b/>
          <w:bCs/>
          <w:color w:val="D63384"/>
          <w:sz w:val="24"/>
          <w:szCs w:val="24"/>
        </w:rPr>
        <w:t xml:space="preserve">11.  </w:t>
      </w:r>
      <w:r>
        <w:rPr>
          <w:b/>
          <w:bCs/>
          <w:color w:val="1A1A3A"/>
          <w:sz w:val="24"/>
          <w:szCs w:val="24"/>
        </w:rPr>
        <w:t xml:space="preserve">Physical Security</w:t>
      </w:r>
    </w:p>
    <w:p>
      <w:pPr>
        <w:spacing w:after="160"/>
      </w:pPr>
      <w:r>
        <w:rPr>
          <w:color w:val="2A2A45"/>
        </w:rPr>
        <w:t xml:space="preserve">Rinnova operates as a remote-first company with no dedicated office space at this time. Physical security obligations are limited to:</w:t>
      </w:r>
    </w:p>
    <w:p>
      <w:pPr>
        <w:pStyle w:val="ListParagraph"/>
        <w:numPr>
          <w:ilvl w:val="0"/>
          <w:numId w:val="2"/>
        </w:numPr>
        <w:spacing w:after="120"/>
      </w:pPr>
      <w:r>
        <w:rPr>
          <w:color w:val="2A2A45"/>
        </w:rPr>
        <w:t xml:space="preserve">Workforce member responsibility to secure their workstations when unattended and to avoid discussing PHI in public or non-secure locations.</w:t>
      </w:r>
    </w:p>
    <w:p>
      <w:pPr>
        <w:pStyle w:val="ListParagraph"/>
        <w:numPr>
          <w:ilvl w:val="0"/>
          <w:numId w:val="2"/>
        </w:numPr>
        <w:spacing w:after="120"/>
      </w:pPr>
      <w:r>
        <w:rPr>
          <w:color w:val="2A2A45"/>
        </w:rPr>
        <w:t xml:space="preserve">Reliance on SOC 2 Type II certified cloud providers for all data center physical controls.</w:t>
      </w:r>
    </w:p>
    <w:p>
      <w:pPr>
        <w:pStyle w:val="ListParagraph"/>
        <w:numPr>
          <w:ilvl w:val="0"/>
          <w:numId w:val="2"/>
        </w:numPr>
        <w:spacing w:after="120"/>
      </w:pPr>
      <w:r>
        <w:rPr>
          <w:color w:val="2A2A45"/>
        </w:rPr>
        <w:t xml:space="preserve">Verification of physical security posture as part of annual vendor review.</w:t>
      </w:r>
    </w:p>
    <w:p>
      <w:pPr>
        <w:keepNext/>
        <w:spacing w:after="160" w:before="320"/>
      </w:pPr>
      <w:r>
        <w:rPr>
          <w:b/>
          <w:bCs/>
          <w:color w:val="D63384"/>
          <w:sz w:val="24"/>
          <w:szCs w:val="24"/>
        </w:rPr>
        <w:t xml:space="preserve">12.  </w:t>
      </w:r>
      <w:r>
        <w:rPr>
          <w:b/>
          <w:bCs/>
          <w:color w:val="1A1A3A"/>
          <w:sz w:val="24"/>
          <w:szCs w:val="24"/>
        </w:rPr>
        <w:t xml:space="preserve">Security Incident Response</w:t>
      </w:r>
    </w:p>
    <w:p>
      <w:pPr>
        <w:spacing w:after="160"/>
      </w:pPr>
      <w:r>
        <w:rPr>
          <w:color w:val="2A2A45"/>
        </w:rPr>
        <w:t xml:space="preserve">Security incidents are handled in accordance with the separately published Incident Response Plan. All workforce members are required to report suspected incidents immediately to info@tondo-digital.com or directly to the Security Officer.</w:t>
      </w:r>
    </w:p>
    <w:p>
      <w:pPr>
        <w:keepNext/>
        <w:spacing w:after="160" w:before="320"/>
      </w:pPr>
      <w:r>
        <w:rPr>
          <w:b/>
          <w:bCs/>
          <w:color w:val="D63384"/>
          <w:sz w:val="24"/>
          <w:szCs w:val="24"/>
        </w:rPr>
        <w:t xml:space="preserve">13.  </w:t>
      </w:r>
      <w:r>
        <w:rPr>
          <w:b/>
          <w:bCs/>
          <w:color w:val="1A1A3A"/>
          <w:sz w:val="24"/>
          <w:szCs w:val="24"/>
        </w:rPr>
        <w:t xml:space="preserve">Sanctions for Policy Violations</w:t>
      </w:r>
    </w:p>
    <w:p>
      <w:pPr>
        <w:spacing w:after="160"/>
      </w:pPr>
      <w:r>
        <w:rPr>
          <w:color w:val="2A2A45"/>
        </w:rPr>
        <w:t xml:space="preserve">Violations of this policy are subject to disciplinary action up to and including termination. Where policy violations constitute violations of HIPAA, HITECH, or other laws, Rinnova will cooperate with applicable authorities.</w:t>
      </w:r>
    </w:p>
    <w:p>
      <w:pPr>
        <w:keepNext/>
        <w:spacing w:after="160" w:before="320"/>
      </w:pPr>
      <w:r>
        <w:rPr>
          <w:b/>
          <w:bCs/>
          <w:color w:val="D63384"/>
          <w:sz w:val="24"/>
          <w:szCs w:val="24"/>
        </w:rPr>
        <w:t xml:space="preserve">14.  </w:t>
      </w:r>
      <w:r>
        <w:rPr>
          <w:b/>
          <w:bCs/>
          <w:color w:val="1A1A3A"/>
          <w:sz w:val="24"/>
          <w:szCs w:val="24"/>
        </w:rPr>
        <w:t xml:space="preserve">Contact Information</w:t>
      </w:r>
    </w:p>
    <w:p>
      <w:pPr>
        <w:spacing w:after="160"/>
      </w:pPr>
      <w:r>
        <w:rPr>
          <w:color w:val="2A2A45"/>
        </w:rPr>
        <w:t xml:space="preserve">Security Officer: [Name]</w:t>
      </w:r>
    </w:p>
    <w:p>
      <w:pPr>
        <w:spacing w:after="160"/>
      </w:pPr>
      <w:r>
        <w:rPr>
          <w:color w:val="2A2A45"/>
        </w:rPr>
        <w:t xml:space="preserve">Email: info@tondo-digital.com</w:t>
      </w:r>
    </w:p>
    <w:p>
      <w:pPr>
        <w:spacing w:after="160"/>
      </w:pPr>
      <w:r>
        <w:rPr>
          <w:color w:val="2A2A45"/>
        </w:rPr>
        <w:t xml:space="preserve">Incident Reporting: info@tondo-digital.com</w:t>
      </w:r>
    </w:p>
    <w:p>
      <w:pPr>
        <w:pBdr>
          <w:bottom w:val="single" w:color="CCCCCC" w:sz="6" w:space="6"/>
        </w:pBdr>
        <w:spacing w:after="120" w:before="400"/>
      </w:pPr>
      <w:r>
        <w:t xml:space="preserve"/>
      </w:r>
    </w:p>
    <w:p>
      <w:pPr>
        <w:spacing w:after="120" w:before="120"/>
      </w:pPr>
      <w:r>
        <w:rPr>
          <w:b/>
          <w:bCs/>
          <w:color w:val="1A1A3A"/>
          <w:sz w:val="22"/>
          <w:szCs w:val="22"/>
        </w:rPr>
        <w:t xml:space="preserve">Revision History</w:t>
      </w:r>
    </w:p>
    <w:p>
      <w:pPr>
        <w:spacing w:after="40"/>
      </w:pPr>
      <w:r>
        <w:rPr>
          <w:b/>
          <w:bCs/>
          <w:color w:val="1A1A3A"/>
        </w:rPr>
        <w:t xml:space="preserve">v1.0</w:t>
      </w:r>
      <w:r>
        <w:rPr>
          <w:color w:val="2A2A45"/>
        </w:rPr>
        <w:t xml:space="preserve">    [Effective Date]    Initial version.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Rinnova Information Security Policy</dc:title>
  <dc:creator>Tondo</dc:creator>
  <cp:lastModifiedBy>Un-named</cp:lastModifiedBy>
  <cp:revision>1</cp:revision>
  <dcterms:created xsi:type="dcterms:W3CDTF">2026-04-21T15:56:08.812Z</dcterms:created>
  <dcterms:modified xsi:type="dcterms:W3CDTF">2026-04-21T15:56:08.814Z</dcterms:modified>
</cp:coreProperties>
</file>

<file path=docProps/custom.xml><?xml version="1.0" encoding="utf-8"?>
<Properties xmlns="http://schemas.openxmlformats.org/officeDocument/2006/custom-properties" xmlns:vt="http://schemas.openxmlformats.org/officeDocument/2006/docPropsVTypes"/>
</file>